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BF" w:rsidRPr="005B5406" w:rsidRDefault="00412ABF" w:rsidP="00412ABF">
      <w:pPr>
        <w:spacing w:after="0" w:line="240" w:lineRule="auto"/>
        <w:jc w:val="center"/>
        <w:rPr>
          <w:rFonts w:ascii="Cambria" w:eastAsia="Calibri" w:hAnsi="Cambria" w:cs="Arial"/>
          <w:b/>
          <w:sz w:val="24"/>
          <w:szCs w:val="24"/>
        </w:rPr>
      </w:pPr>
      <w:r>
        <w:rPr>
          <w:rFonts w:ascii="Cambria" w:eastAsia="Calibri" w:hAnsi="Cambria" w:cs="Arial"/>
          <w:b/>
          <w:sz w:val="24"/>
          <w:szCs w:val="24"/>
        </w:rPr>
        <w:t>ESL 103</w:t>
      </w:r>
      <w:r w:rsidRPr="005B5406">
        <w:rPr>
          <w:rFonts w:ascii="Cambria" w:eastAsia="Calibri" w:hAnsi="Cambria" w:cs="Arial"/>
          <w:b/>
          <w:sz w:val="24"/>
          <w:szCs w:val="24"/>
        </w:rPr>
        <w:t xml:space="preserve">0 </w:t>
      </w:r>
      <w:r>
        <w:rPr>
          <w:rFonts w:ascii="Cambria" w:eastAsia="Calibri" w:hAnsi="Cambria" w:cs="Arial"/>
          <w:b/>
          <w:sz w:val="24"/>
          <w:szCs w:val="24"/>
        </w:rPr>
        <w:t>Conversation</w:t>
      </w:r>
      <w:r w:rsidRPr="005B5406">
        <w:rPr>
          <w:rFonts w:ascii="Cambria" w:eastAsia="Calibri" w:hAnsi="Cambria" w:cs="Arial"/>
          <w:b/>
          <w:sz w:val="24"/>
          <w:szCs w:val="24"/>
        </w:rPr>
        <w:t xml:space="preserve">, </w:t>
      </w:r>
      <w:proofErr w:type="gramStart"/>
      <w:r>
        <w:rPr>
          <w:rFonts w:ascii="Cambria" w:eastAsia="Calibri" w:hAnsi="Cambria" w:cs="Arial"/>
          <w:b/>
          <w:sz w:val="24"/>
          <w:szCs w:val="24"/>
        </w:rPr>
        <w:t>Spring</w:t>
      </w:r>
      <w:proofErr w:type="gramEnd"/>
      <w:r>
        <w:rPr>
          <w:rFonts w:ascii="Cambria" w:eastAsia="Calibri" w:hAnsi="Cambria" w:cs="Arial"/>
          <w:b/>
          <w:sz w:val="24"/>
          <w:szCs w:val="24"/>
        </w:rPr>
        <w:t xml:space="preserve"> 2016 </w:t>
      </w:r>
    </w:p>
    <w:p w:rsidR="00412ABF" w:rsidRPr="005B5406" w:rsidRDefault="00412ABF" w:rsidP="00412ABF">
      <w:pPr>
        <w:spacing w:after="0" w:line="240" w:lineRule="auto"/>
        <w:jc w:val="center"/>
        <w:rPr>
          <w:rFonts w:ascii="Cambria" w:eastAsia="Calibri" w:hAnsi="Cambria" w:cs="Arial"/>
          <w:b/>
          <w:sz w:val="24"/>
          <w:szCs w:val="24"/>
        </w:rPr>
      </w:pPr>
      <w:r w:rsidRPr="005B5406">
        <w:rPr>
          <w:rFonts w:ascii="Cambria" w:eastAsia="Calibri" w:hAnsi="Cambria" w:cs="Arial"/>
          <w:b/>
          <w:sz w:val="24"/>
          <w:szCs w:val="24"/>
        </w:rPr>
        <w:t>English Department, Salt Lake Community College</w:t>
      </w:r>
    </w:p>
    <w:p w:rsidR="00412ABF" w:rsidRDefault="00412ABF" w:rsidP="00412ABF">
      <w:pPr>
        <w:spacing w:after="0" w:line="240" w:lineRule="auto"/>
        <w:jc w:val="center"/>
        <w:rPr>
          <w:rFonts w:ascii="Cambria" w:eastAsia="Calibri" w:hAnsi="Cambria" w:cs="Arial"/>
          <w:b/>
          <w:sz w:val="24"/>
          <w:szCs w:val="24"/>
        </w:rPr>
      </w:pPr>
      <w:r>
        <w:rPr>
          <w:rFonts w:ascii="Cambria" w:eastAsia="Calibri" w:hAnsi="Cambria" w:cs="Arial"/>
          <w:b/>
          <w:sz w:val="24"/>
          <w:szCs w:val="24"/>
        </w:rPr>
        <w:t>Tue</w:t>
      </w:r>
      <w:r w:rsidRPr="005B5406">
        <w:rPr>
          <w:rFonts w:ascii="Cambria" w:eastAsia="Calibri" w:hAnsi="Cambria" w:cs="Arial"/>
          <w:b/>
          <w:sz w:val="24"/>
          <w:szCs w:val="24"/>
        </w:rPr>
        <w:t xml:space="preserve"> </w:t>
      </w:r>
      <w:r>
        <w:rPr>
          <w:rFonts w:ascii="Cambria" w:eastAsia="Calibri" w:hAnsi="Cambria" w:cs="Arial"/>
          <w:b/>
          <w:sz w:val="24"/>
          <w:szCs w:val="24"/>
        </w:rPr>
        <w:t>&amp; Thu</w:t>
      </w:r>
      <w:r w:rsidRPr="005B5406">
        <w:rPr>
          <w:rFonts w:ascii="Cambria" w:eastAsia="Calibri" w:hAnsi="Cambria" w:cs="Arial"/>
          <w:b/>
          <w:sz w:val="24"/>
          <w:szCs w:val="24"/>
        </w:rPr>
        <w:t xml:space="preserve"> </w:t>
      </w:r>
      <w:r>
        <w:rPr>
          <w:rFonts w:ascii="Cambria" w:eastAsia="Calibri" w:hAnsi="Cambria" w:cs="Arial"/>
          <w:b/>
          <w:sz w:val="24"/>
          <w:szCs w:val="24"/>
        </w:rPr>
        <w:t>1:00pm – 2:20pm</w:t>
      </w:r>
      <w:r w:rsidRPr="005B5406">
        <w:rPr>
          <w:rFonts w:ascii="Cambria" w:eastAsia="Calibri" w:hAnsi="Cambria" w:cs="Arial"/>
          <w:b/>
          <w:sz w:val="24"/>
          <w:szCs w:val="24"/>
        </w:rPr>
        <w:t xml:space="preserve"> TB </w:t>
      </w:r>
      <w:r>
        <w:rPr>
          <w:rFonts w:ascii="Cambria" w:eastAsia="Calibri" w:hAnsi="Cambria" w:cs="Arial"/>
          <w:b/>
          <w:sz w:val="24"/>
          <w:szCs w:val="24"/>
        </w:rPr>
        <w:t>440</w:t>
      </w:r>
    </w:p>
    <w:p w:rsidR="00412ABF" w:rsidRDefault="00412ABF" w:rsidP="00412ABF">
      <w:pPr>
        <w:spacing w:after="0" w:line="240" w:lineRule="auto"/>
        <w:jc w:val="center"/>
        <w:rPr>
          <w:rFonts w:ascii="Cambria" w:eastAsia="Calibri" w:hAnsi="Cambria" w:cs="Arial"/>
          <w:b/>
          <w:sz w:val="24"/>
          <w:szCs w:val="24"/>
        </w:rPr>
      </w:pPr>
    </w:p>
    <w:p w:rsidR="00412ABF" w:rsidRPr="005B5406" w:rsidRDefault="00412ABF" w:rsidP="00412ABF">
      <w:pPr>
        <w:spacing w:after="0" w:line="240" w:lineRule="auto"/>
        <w:jc w:val="center"/>
        <w:rPr>
          <w:rFonts w:ascii="Cambria" w:eastAsia="Calibri" w:hAnsi="Cambria" w:cs="Arial"/>
          <w:b/>
          <w:sz w:val="24"/>
          <w:szCs w:val="24"/>
        </w:rPr>
      </w:pPr>
    </w:p>
    <w:p w:rsidR="00412ABF" w:rsidRPr="005B5406" w:rsidRDefault="00412ABF" w:rsidP="00412ABF">
      <w:pPr>
        <w:spacing w:after="0" w:line="240" w:lineRule="auto"/>
        <w:outlineLvl w:val="0"/>
        <w:rPr>
          <w:rFonts w:ascii="Cambria" w:eastAsia="Times New Roman" w:hAnsi="Cambria" w:cs="Times New Roman"/>
          <w:b/>
          <w:bCs/>
          <w:sz w:val="24"/>
          <w:szCs w:val="24"/>
        </w:rPr>
      </w:pPr>
      <w:r w:rsidRPr="005B5406">
        <w:rPr>
          <w:rFonts w:ascii="Cambria" w:eastAsia="Times New Roman" w:hAnsi="Cambria" w:cs="Times New Roman"/>
          <w:b/>
          <w:bCs/>
          <w:sz w:val="24"/>
          <w:szCs w:val="24"/>
        </w:rPr>
        <w:t xml:space="preserve">Instructor: </w:t>
      </w:r>
      <w:r w:rsidRPr="005B5406">
        <w:rPr>
          <w:rFonts w:ascii="Cambria" w:eastAsia="Times New Roman" w:hAnsi="Cambria" w:cs="Times New Roman"/>
          <w:bCs/>
          <w:sz w:val="24"/>
          <w:szCs w:val="24"/>
        </w:rPr>
        <w:t>Gordon Dunne</w:t>
      </w:r>
      <w:r w:rsidRPr="005B5406">
        <w:rPr>
          <w:rFonts w:ascii="Cambria" w:eastAsia="Times New Roman" w:hAnsi="Cambria" w:cs="Times New Roman"/>
          <w:b/>
          <w:bCs/>
          <w:sz w:val="24"/>
          <w:szCs w:val="24"/>
        </w:rPr>
        <w:tab/>
      </w:r>
      <w:r w:rsidRPr="005B5406">
        <w:rPr>
          <w:rFonts w:ascii="Cambria" w:eastAsia="Times New Roman" w:hAnsi="Cambria" w:cs="Times New Roman"/>
          <w:b/>
          <w:bCs/>
          <w:sz w:val="24"/>
          <w:szCs w:val="24"/>
        </w:rPr>
        <w:tab/>
      </w:r>
      <w:r w:rsidRPr="005B5406">
        <w:rPr>
          <w:rFonts w:ascii="Cambria" w:eastAsia="Times New Roman" w:hAnsi="Cambria" w:cs="Times New Roman"/>
          <w:b/>
          <w:bCs/>
          <w:sz w:val="24"/>
          <w:szCs w:val="24"/>
        </w:rPr>
        <w:tab/>
      </w:r>
    </w:p>
    <w:p w:rsidR="00412ABF" w:rsidRPr="005B5406" w:rsidRDefault="00412ABF" w:rsidP="00412ABF">
      <w:pPr>
        <w:spacing w:after="0" w:line="240" w:lineRule="auto"/>
        <w:outlineLvl w:val="0"/>
        <w:rPr>
          <w:rFonts w:ascii="Cambria" w:eastAsia="Times New Roman" w:hAnsi="Cambria" w:cs="Times New Roman"/>
          <w:b/>
          <w:bCs/>
          <w:sz w:val="24"/>
          <w:szCs w:val="24"/>
        </w:rPr>
      </w:pPr>
      <w:r>
        <w:rPr>
          <w:rFonts w:ascii="Cambria" w:eastAsia="Times New Roman" w:hAnsi="Cambria" w:cs="Times New Roman"/>
          <w:b/>
          <w:bCs/>
          <w:sz w:val="24"/>
          <w:szCs w:val="24"/>
        </w:rPr>
        <w:t>E-mail:</w:t>
      </w:r>
      <w:r w:rsidRPr="005B5406">
        <w:rPr>
          <w:rFonts w:ascii="Cambria" w:eastAsia="Times New Roman" w:hAnsi="Cambria" w:cs="Times New Roman"/>
          <w:b/>
          <w:bCs/>
          <w:sz w:val="24"/>
          <w:szCs w:val="24"/>
        </w:rPr>
        <w:t xml:space="preserve"> </w:t>
      </w:r>
      <w:hyperlink r:id="rId8" w:history="1">
        <w:r w:rsidRPr="005B5406">
          <w:rPr>
            <w:rFonts w:ascii="Cambria" w:eastAsia="Times New Roman" w:hAnsi="Cambria" w:cs="Times New Roman"/>
            <w:bCs/>
            <w:color w:val="0000FF"/>
            <w:sz w:val="24"/>
            <w:szCs w:val="24"/>
            <w:u w:val="single"/>
          </w:rPr>
          <w:t>gdunne@bruinmail.slcc.edu</w:t>
        </w:r>
      </w:hyperlink>
      <w:r>
        <w:rPr>
          <w:rFonts w:ascii="Cambria" w:eastAsia="Times New Roman" w:hAnsi="Cambria" w:cs="Times New Roman"/>
          <w:bCs/>
          <w:color w:val="0000FF"/>
          <w:sz w:val="24"/>
          <w:szCs w:val="24"/>
          <w:u w:val="single"/>
        </w:rPr>
        <w:t xml:space="preserve"> </w:t>
      </w:r>
      <w:r>
        <w:rPr>
          <w:rFonts w:ascii="Cambria" w:eastAsia="Times New Roman" w:hAnsi="Cambria" w:cs="Times New Roman"/>
          <w:bCs/>
          <w:sz w:val="24"/>
          <w:szCs w:val="24"/>
        </w:rPr>
        <w:t>or Canvas email</w:t>
      </w:r>
    </w:p>
    <w:p w:rsidR="00412ABF" w:rsidRPr="005B5406" w:rsidRDefault="00412ABF" w:rsidP="00412ABF">
      <w:pPr>
        <w:spacing w:after="0" w:line="240" w:lineRule="auto"/>
        <w:outlineLvl w:val="0"/>
        <w:rPr>
          <w:rFonts w:ascii="Cambria" w:eastAsia="Times New Roman" w:hAnsi="Cambria" w:cs="Times New Roman"/>
          <w:b/>
          <w:bCs/>
          <w:sz w:val="24"/>
          <w:szCs w:val="24"/>
        </w:rPr>
      </w:pPr>
      <w:r w:rsidRPr="005B5406">
        <w:rPr>
          <w:rFonts w:ascii="Cambria" w:eastAsia="Times New Roman" w:hAnsi="Cambria" w:cs="Times New Roman"/>
          <w:b/>
          <w:bCs/>
          <w:sz w:val="24"/>
          <w:szCs w:val="24"/>
        </w:rPr>
        <w:t xml:space="preserve">Tel: </w:t>
      </w:r>
      <w:r w:rsidRPr="005B5406">
        <w:rPr>
          <w:rFonts w:ascii="Cambria" w:eastAsia="Times New Roman" w:hAnsi="Cambria" w:cs="Times New Roman"/>
          <w:bCs/>
          <w:sz w:val="24"/>
          <w:szCs w:val="24"/>
        </w:rPr>
        <w:t>801-957-5141</w:t>
      </w:r>
    </w:p>
    <w:p w:rsidR="00412ABF" w:rsidRPr="005B5406" w:rsidRDefault="00412ABF" w:rsidP="00412ABF">
      <w:pPr>
        <w:spacing w:after="0" w:line="240" w:lineRule="auto"/>
        <w:outlineLvl w:val="0"/>
        <w:rPr>
          <w:rFonts w:ascii="Cambria" w:eastAsia="Times New Roman" w:hAnsi="Cambria" w:cs="Times New Roman"/>
          <w:b/>
          <w:bCs/>
          <w:sz w:val="24"/>
          <w:szCs w:val="24"/>
        </w:rPr>
      </w:pPr>
      <w:r w:rsidRPr="005B5406">
        <w:rPr>
          <w:rFonts w:ascii="Cambria" w:eastAsia="Times New Roman" w:hAnsi="Cambria" w:cs="Times New Roman"/>
          <w:b/>
          <w:bCs/>
          <w:sz w:val="24"/>
          <w:szCs w:val="24"/>
        </w:rPr>
        <w:t xml:space="preserve">Office: </w:t>
      </w:r>
      <w:r w:rsidRPr="005B5406">
        <w:rPr>
          <w:rFonts w:ascii="Cambria" w:eastAsia="Times New Roman" w:hAnsi="Cambria" w:cs="Times New Roman"/>
          <w:bCs/>
          <w:sz w:val="24"/>
          <w:szCs w:val="24"/>
        </w:rPr>
        <w:t>TB 316-E</w:t>
      </w:r>
    </w:p>
    <w:p w:rsidR="00412ABF" w:rsidRPr="005B5406" w:rsidRDefault="00412ABF" w:rsidP="00412ABF">
      <w:pPr>
        <w:spacing w:after="0" w:line="240" w:lineRule="auto"/>
        <w:outlineLvl w:val="0"/>
        <w:rPr>
          <w:rFonts w:ascii="Cambria" w:eastAsia="Times New Roman" w:hAnsi="Cambria" w:cs="Times New Roman"/>
          <w:bCs/>
          <w:sz w:val="24"/>
          <w:szCs w:val="24"/>
        </w:rPr>
      </w:pPr>
      <w:r w:rsidRPr="005B5406">
        <w:rPr>
          <w:rFonts w:ascii="Cambria" w:eastAsia="Times New Roman" w:hAnsi="Cambria" w:cs="Times New Roman"/>
          <w:b/>
          <w:bCs/>
          <w:sz w:val="24"/>
          <w:szCs w:val="24"/>
        </w:rPr>
        <w:t xml:space="preserve">Office Hours: </w:t>
      </w:r>
      <w:r w:rsidRPr="005B5406">
        <w:rPr>
          <w:rFonts w:ascii="Cambria" w:eastAsia="Times New Roman" w:hAnsi="Cambria" w:cs="Times New Roman"/>
          <w:bCs/>
          <w:sz w:val="24"/>
          <w:szCs w:val="24"/>
        </w:rPr>
        <w:t xml:space="preserve"> </w:t>
      </w:r>
      <w:r>
        <w:rPr>
          <w:rFonts w:ascii="Cambria" w:eastAsia="Times New Roman" w:hAnsi="Cambria" w:cs="Times New Roman"/>
          <w:bCs/>
          <w:snapToGrid w:val="0"/>
          <w:sz w:val="24"/>
          <w:szCs w:val="24"/>
        </w:rPr>
        <w:t>Tue &amp; Thu 9:00</w:t>
      </w:r>
      <w:proofErr w:type="gramStart"/>
      <w:r>
        <w:rPr>
          <w:rFonts w:ascii="Cambria" w:eastAsia="Times New Roman" w:hAnsi="Cambria" w:cs="Times New Roman"/>
          <w:bCs/>
          <w:snapToGrid w:val="0"/>
          <w:sz w:val="24"/>
          <w:szCs w:val="24"/>
        </w:rPr>
        <w:t>am</w:t>
      </w:r>
      <w:proofErr w:type="gramEnd"/>
      <w:r>
        <w:rPr>
          <w:rFonts w:ascii="Cambria" w:eastAsia="Times New Roman" w:hAnsi="Cambria" w:cs="Times New Roman"/>
          <w:bCs/>
          <w:snapToGrid w:val="0"/>
          <w:sz w:val="24"/>
          <w:szCs w:val="24"/>
        </w:rPr>
        <w:t xml:space="preserve"> – 11:00am</w:t>
      </w:r>
    </w:p>
    <w:p w:rsidR="00E24219" w:rsidRDefault="00E24219"/>
    <w:p w:rsidR="009303AA" w:rsidRPr="009303AA" w:rsidRDefault="009303AA" w:rsidP="009303AA">
      <w:pPr>
        <w:rPr>
          <w:rFonts w:asciiTheme="majorHAnsi" w:hAnsiTheme="majorHAnsi"/>
          <w:b/>
        </w:rPr>
      </w:pPr>
      <w:r w:rsidRPr="009303AA">
        <w:rPr>
          <w:rFonts w:asciiTheme="majorHAnsi" w:hAnsiTheme="majorHAnsi"/>
          <w:b/>
        </w:rPr>
        <w:t>COURSE DESCRIPTION</w:t>
      </w:r>
    </w:p>
    <w:p w:rsidR="009303AA" w:rsidRPr="009303AA" w:rsidRDefault="009303AA" w:rsidP="009303AA">
      <w:pPr>
        <w:rPr>
          <w:rFonts w:asciiTheme="majorHAnsi" w:hAnsiTheme="majorHAnsi"/>
        </w:rPr>
      </w:pPr>
      <w:r w:rsidRPr="009303AA">
        <w:rPr>
          <w:rFonts w:asciiTheme="majorHAnsi" w:hAnsiTheme="majorHAnsi"/>
        </w:rPr>
        <w:t>ESL Conversation 1030 is designed to improve general conversation abilities including listening and pronunciation skills through meaningful discussions and the study of expressions commonly used by Americans.</w:t>
      </w:r>
    </w:p>
    <w:p w:rsidR="009303AA" w:rsidRPr="009303AA" w:rsidRDefault="009303AA" w:rsidP="009303AA">
      <w:pPr>
        <w:rPr>
          <w:rFonts w:asciiTheme="majorHAnsi" w:hAnsiTheme="majorHAnsi"/>
        </w:rPr>
      </w:pPr>
    </w:p>
    <w:p w:rsidR="009303AA" w:rsidRPr="009303AA" w:rsidRDefault="009303AA" w:rsidP="009303AA">
      <w:pPr>
        <w:rPr>
          <w:rFonts w:asciiTheme="majorHAnsi" w:hAnsiTheme="majorHAnsi"/>
        </w:rPr>
      </w:pPr>
      <w:r w:rsidRPr="009303AA">
        <w:rPr>
          <w:rFonts w:asciiTheme="majorHAnsi" w:hAnsiTheme="majorHAnsi"/>
          <w:b/>
        </w:rPr>
        <w:t>COURSE OBJECTIVES</w:t>
      </w:r>
      <w:r w:rsidRPr="009303AA">
        <w:rPr>
          <w:rFonts w:asciiTheme="majorHAnsi" w:hAnsiTheme="majorHAnsi"/>
        </w:rPr>
        <w:t>: Students will be able to</w:t>
      </w:r>
    </w:p>
    <w:p w:rsidR="009303AA" w:rsidRPr="009303AA" w:rsidRDefault="009303AA" w:rsidP="009303AA">
      <w:pPr>
        <w:rPr>
          <w:rFonts w:asciiTheme="majorHAnsi" w:hAnsiTheme="majorHAnsi"/>
        </w:rPr>
      </w:pPr>
      <w:r w:rsidRPr="009303AA">
        <w:rPr>
          <w:rFonts w:asciiTheme="majorHAnsi" w:hAnsiTheme="majorHAnsi"/>
        </w:rPr>
        <w:t xml:space="preserve">1. </w:t>
      </w:r>
      <w:proofErr w:type="gramStart"/>
      <w:r w:rsidRPr="009303AA">
        <w:rPr>
          <w:rFonts w:asciiTheme="majorHAnsi" w:hAnsiTheme="majorHAnsi"/>
        </w:rPr>
        <w:t>express</w:t>
      </w:r>
      <w:proofErr w:type="gramEnd"/>
      <w:r w:rsidRPr="009303AA">
        <w:rPr>
          <w:rFonts w:asciiTheme="majorHAnsi" w:hAnsiTheme="majorHAnsi"/>
        </w:rPr>
        <w:t xml:space="preserve"> opinions and be understood by listeners.</w:t>
      </w:r>
    </w:p>
    <w:p w:rsidR="009303AA" w:rsidRPr="009303AA" w:rsidRDefault="009303AA" w:rsidP="009303AA">
      <w:pPr>
        <w:rPr>
          <w:rFonts w:asciiTheme="majorHAnsi" w:hAnsiTheme="majorHAnsi"/>
        </w:rPr>
      </w:pPr>
      <w:r w:rsidRPr="009303AA">
        <w:rPr>
          <w:rFonts w:asciiTheme="majorHAnsi" w:hAnsiTheme="majorHAnsi"/>
        </w:rPr>
        <w:t xml:space="preserve">2. </w:t>
      </w:r>
      <w:proofErr w:type="gramStart"/>
      <w:r w:rsidRPr="009303AA">
        <w:rPr>
          <w:rFonts w:asciiTheme="majorHAnsi" w:hAnsiTheme="majorHAnsi"/>
        </w:rPr>
        <w:t>develop</w:t>
      </w:r>
      <w:proofErr w:type="gramEnd"/>
      <w:r w:rsidRPr="009303AA">
        <w:rPr>
          <w:rFonts w:asciiTheme="majorHAnsi" w:hAnsiTheme="majorHAnsi"/>
        </w:rPr>
        <w:t xml:space="preserve"> strategies for helping others to understand her/him.</w:t>
      </w:r>
    </w:p>
    <w:p w:rsidR="009303AA" w:rsidRPr="009303AA" w:rsidRDefault="009303AA" w:rsidP="009303AA">
      <w:pPr>
        <w:rPr>
          <w:rFonts w:asciiTheme="majorHAnsi" w:hAnsiTheme="majorHAnsi"/>
        </w:rPr>
      </w:pPr>
      <w:r w:rsidRPr="009303AA">
        <w:rPr>
          <w:rFonts w:asciiTheme="majorHAnsi" w:hAnsiTheme="majorHAnsi"/>
        </w:rPr>
        <w:t xml:space="preserve">3. </w:t>
      </w:r>
      <w:proofErr w:type="gramStart"/>
      <w:r w:rsidRPr="009303AA">
        <w:rPr>
          <w:rFonts w:asciiTheme="majorHAnsi" w:hAnsiTheme="majorHAnsi"/>
        </w:rPr>
        <w:t>ask</w:t>
      </w:r>
      <w:proofErr w:type="gramEnd"/>
      <w:r w:rsidRPr="009303AA">
        <w:rPr>
          <w:rFonts w:asciiTheme="majorHAnsi" w:hAnsiTheme="majorHAnsi"/>
        </w:rPr>
        <w:t xml:space="preserve"> informational questions and ask for clarification.</w:t>
      </w:r>
    </w:p>
    <w:p w:rsidR="009303AA" w:rsidRPr="009303AA" w:rsidRDefault="009303AA" w:rsidP="009303AA">
      <w:pPr>
        <w:rPr>
          <w:rFonts w:asciiTheme="majorHAnsi" w:hAnsiTheme="majorHAnsi"/>
        </w:rPr>
      </w:pPr>
      <w:r w:rsidRPr="009303AA">
        <w:rPr>
          <w:rFonts w:asciiTheme="majorHAnsi" w:hAnsiTheme="majorHAnsi"/>
        </w:rPr>
        <w:t xml:space="preserve">4. </w:t>
      </w:r>
      <w:proofErr w:type="gramStart"/>
      <w:r w:rsidRPr="009303AA">
        <w:rPr>
          <w:rFonts w:asciiTheme="majorHAnsi" w:hAnsiTheme="majorHAnsi"/>
        </w:rPr>
        <w:t>recognize</w:t>
      </w:r>
      <w:proofErr w:type="gramEnd"/>
      <w:r w:rsidRPr="009303AA">
        <w:rPr>
          <w:rFonts w:asciiTheme="majorHAnsi" w:hAnsiTheme="majorHAnsi"/>
        </w:rPr>
        <w:t xml:space="preserve"> and use the most common expressions used by Americans.</w:t>
      </w:r>
    </w:p>
    <w:p w:rsidR="009303AA" w:rsidRPr="009303AA" w:rsidRDefault="009303AA" w:rsidP="009303AA">
      <w:pPr>
        <w:rPr>
          <w:rFonts w:asciiTheme="majorHAnsi" w:hAnsiTheme="majorHAnsi"/>
        </w:rPr>
      </w:pPr>
      <w:r w:rsidRPr="009303AA">
        <w:rPr>
          <w:rFonts w:asciiTheme="majorHAnsi" w:hAnsiTheme="majorHAnsi"/>
        </w:rPr>
        <w:t xml:space="preserve">5. </w:t>
      </w:r>
      <w:proofErr w:type="gramStart"/>
      <w:r w:rsidRPr="009303AA">
        <w:rPr>
          <w:rFonts w:asciiTheme="majorHAnsi" w:hAnsiTheme="majorHAnsi"/>
        </w:rPr>
        <w:t>pronounce</w:t>
      </w:r>
      <w:proofErr w:type="gramEnd"/>
      <w:r w:rsidRPr="009303AA">
        <w:rPr>
          <w:rFonts w:asciiTheme="majorHAnsi" w:hAnsiTheme="majorHAnsi"/>
        </w:rPr>
        <w:t xml:space="preserve"> expressions, and understand the grammar associated with expressions.</w:t>
      </w:r>
    </w:p>
    <w:p w:rsidR="009303AA" w:rsidRPr="009303AA" w:rsidRDefault="009303AA" w:rsidP="009303AA">
      <w:pPr>
        <w:rPr>
          <w:rFonts w:asciiTheme="majorHAnsi" w:hAnsiTheme="majorHAnsi"/>
        </w:rPr>
      </w:pPr>
      <w:r w:rsidRPr="009303AA">
        <w:rPr>
          <w:rFonts w:asciiTheme="majorHAnsi" w:hAnsiTheme="majorHAnsi"/>
        </w:rPr>
        <w:t xml:space="preserve">6. </w:t>
      </w:r>
      <w:proofErr w:type="gramStart"/>
      <w:r w:rsidRPr="009303AA">
        <w:rPr>
          <w:rFonts w:asciiTheme="majorHAnsi" w:hAnsiTheme="majorHAnsi"/>
        </w:rPr>
        <w:t>learn</w:t>
      </w:r>
      <w:proofErr w:type="gramEnd"/>
      <w:r w:rsidRPr="009303AA">
        <w:rPr>
          <w:rFonts w:asciiTheme="majorHAnsi" w:hAnsiTheme="majorHAnsi"/>
        </w:rPr>
        <w:t xml:space="preserve"> the appropriate use of the expressions in particular situations.</w:t>
      </w:r>
    </w:p>
    <w:p w:rsidR="009303AA" w:rsidRPr="009303AA" w:rsidRDefault="009303AA" w:rsidP="009303AA">
      <w:pPr>
        <w:rPr>
          <w:rFonts w:asciiTheme="majorHAnsi" w:hAnsiTheme="majorHAnsi"/>
        </w:rPr>
      </w:pPr>
      <w:r w:rsidRPr="009303AA">
        <w:rPr>
          <w:rFonts w:asciiTheme="majorHAnsi" w:hAnsiTheme="majorHAnsi"/>
        </w:rPr>
        <w:t> </w:t>
      </w:r>
    </w:p>
    <w:p w:rsidR="009303AA" w:rsidRDefault="009303AA" w:rsidP="009303AA">
      <w:pPr>
        <w:rPr>
          <w:rFonts w:asciiTheme="majorHAnsi" w:hAnsiTheme="majorHAnsi"/>
          <w:b/>
        </w:rPr>
      </w:pPr>
    </w:p>
    <w:p w:rsidR="009303AA" w:rsidRDefault="009303AA" w:rsidP="009303AA">
      <w:pPr>
        <w:rPr>
          <w:rFonts w:asciiTheme="majorHAnsi" w:hAnsiTheme="majorHAnsi"/>
          <w:b/>
        </w:rPr>
      </w:pPr>
    </w:p>
    <w:p w:rsidR="009303AA" w:rsidRDefault="009303AA" w:rsidP="009303AA">
      <w:pPr>
        <w:rPr>
          <w:rFonts w:asciiTheme="majorHAnsi" w:hAnsiTheme="majorHAnsi"/>
          <w:b/>
        </w:rPr>
      </w:pPr>
    </w:p>
    <w:p w:rsidR="009303AA" w:rsidRDefault="009303AA" w:rsidP="009303AA">
      <w:pPr>
        <w:rPr>
          <w:rFonts w:asciiTheme="majorHAnsi" w:hAnsiTheme="majorHAnsi"/>
          <w:b/>
        </w:rPr>
      </w:pPr>
    </w:p>
    <w:p w:rsidR="009303AA" w:rsidRDefault="009303AA" w:rsidP="009303AA">
      <w:pPr>
        <w:rPr>
          <w:rFonts w:asciiTheme="majorHAnsi" w:hAnsiTheme="majorHAnsi"/>
          <w:b/>
        </w:rPr>
      </w:pPr>
    </w:p>
    <w:p w:rsidR="009303AA" w:rsidRDefault="009303AA" w:rsidP="009303AA">
      <w:pPr>
        <w:rPr>
          <w:rFonts w:asciiTheme="majorHAnsi" w:hAnsiTheme="majorHAnsi"/>
          <w:b/>
        </w:rPr>
      </w:pPr>
    </w:p>
    <w:p w:rsidR="009303AA" w:rsidRDefault="009303AA" w:rsidP="009303AA">
      <w:pPr>
        <w:rPr>
          <w:rFonts w:asciiTheme="majorHAnsi" w:hAnsiTheme="majorHAnsi"/>
          <w:b/>
        </w:rPr>
      </w:pPr>
    </w:p>
    <w:p w:rsidR="009303AA" w:rsidRPr="009303AA" w:rsidRDefault="009303AA" w:rsidP="009303AA">
      <w:pPr>
        <w:rPr>
          <w:rFonts w:asciiTheme="majorHAnsi" w:hAnsiTheme="majorHAnsi"/>
        </w:rPr>
      </w:pPr>
      <w:r w:rsidRPr="009303AA">
        <w:rPr>
          <w:rFonts w:asciiTheme="majorHAnsi" w:hAnsiTheme="majorHAnsi"/>
          <w:b/>
        </w:rPr>
        <w:lastRenderedPageBreak/>
        <w:t xml:space="preserve">COURSE </w:t>
      </w:r>
      <w:r>
        <w:rPr>
          <w:rFonts w:asciiTheme="majorHAnsi" w:hAnsiTheme="majorHAnsi"/>
          <w:b/>
        </w:rPr>
        <w:t>TEXTBOOK</w:t>
      </w:r>
    </w:p>
    <w:p w:rsidR="009303AA" w:rsidRPr="009303AA" w:rsidRDefault="009303AA" w:rsidP="009303AA">
      <w:pPr>
        <w:rPr>
          <w:rFonts w:asciiTheme="majorHAnsi" w:hAnsiTheme="majorHAnsi"/>
        </w:rPr>
      </w:pPr>
      <w:proofErr w:type="gramStart"/>
      <w:r w:rsidRPr="009303AA">
        <w:rPr>
          <w:rFonts w:asciiTheme="majorHAnsi" w:hAnsiTheme="majorHAnsi"/>
          <w:i/>
        </w:rPr>
        <w:t xml:space="preserve">Compelling Conversations, Questions &amp; quotations on timeless topics </w:t>
      </w:r>
      <w:r w:rsidRPr="009303AA">
        <w:rPr>
          <w:rFonts w:asciiTheme="majorHAnsi" w:hAnsiTheme="majorHAnsi"/>
        </w:rPr>
        <w:t xml:space="preserve">by Eric H. Roth and Toni </w:t>
      </w:r>
      <w:proofErr w:type="spellStart"/>
      <w:r w:rsidRPr="009303AA">
        <w:rPr>
          <w:rFonts w:asciiTheme="majorHAnsi" w:hAnsiTheme="majorHAnsi"/>
        </w:rPr>
        <w:t>Aberson</w:t>
      </w:r>
      <w:proofErr w:type="spellEnd"/>
      <w:r w:rsidRPr="009303AA">
        <w:rPr>
          <w:rFonts w:asciiTheme="majorHAnsi" w:hAnsiTheme="majorHAnsi"/>
        </w:rPr>
        <w:t>.</w:t>
      </w:r>
      <w:proofErr w:type="gramEnd"/>
    </w:p>
    <w:p w:rsidR="009303AA" w:rsidRPr="009303AA" w:rsidRDefault="009303AA" w:rsidP="009303AA">
      <w:pPr>
        <w:rPr>
          <w:rFonts w:asciiTheme="majorHAnsi" w:hAnsiTheme="majorHAnsi"/>
        </w:rPr>
      </w:pPr>
      <w:r>
        <w:rPr>
          <w:noProof/>
        </w:rPr>
        <w:drawing>
          <wp:inline distT="0" distB="0" distL="0" distR="0" wp14:anchorId="0C1F676A" wp14:editId="2BCEF7EB">
            <wp:extent cx="1847850" cy="2381250"/>
            <wp:effectExtent l="0" t="0" r="0" b="0"/>
            <wp:docPr id="1" name="Picture 1" descr="http://www.compellingconversations.com/images/cover-cc-new-25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pellingconversations.com/images/cover-cc-new-250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2381250"/>
                    </a:xfrm>
                    <a:prstGeom prst="rect">
                      <a:avLst/>
                    </a:prstGeom>
                    <a:noFill/>
                    <a:ln>
                      <a:noFill/>
                    </a:ln>
                  </pic:spPr>
                </pic:pic>
              </a:graphicData>
            </a:graphic>
          </wp:inline>
        </w:drawing>
      </w:r>
    </w:p>
    <w:p w:rsidR="00412ABF" w:rsidRDefault="009303AA">
      <w:pPr>
        <w:rPr>
          <w:rFonts w:asciiTheme="majorHAnsi" w:hAnsiTheme="majorHAnsi"/>
        </w:rPr>
      </w:pPr>
      <w:r w:rsidRPr="009303AA">
        <w:rPr>
          <w:rFonts w:asciiTheme="majorHAnsi" w:hAnsiTheme="majorHAnsi"/>
        </w:rPr>
        <w:t>ISBN: 978-0-9826178-0-9</w:t>
      </w:r>
    </w:p>
    <w:p w:rsidR="009303AA" w:rsidRDefault="009303AA"/>
    <w:p w:rsidR="009303AA" w:rsidRDefault="009303AA" w:rsidP="009303AA">
      <w:pPr>
        <w:rPr>
          <w:rFonts w:asciiTheme="majorHAnsi" w:hAnsiTheme="majorHAnsi"/>
          <w:b/>
        </w:rPr>
      </w:pPr>
      <w:r>
        <w:rPr>
          <w:rFonts w:asciiTheme="majorHAnsi" w:hAnsiTheme="majorHAnsi"/>
          <w:b/>
        </w:rPr>
        <w:t>COURSE POLICIES</w:t>
      </w:r>
    </w:p>
    <w:p w:rsidR="009303AA" w:rsidRPr="007564DF" w:rsidRDefault="009303AA" w:rsidP="009303AA">
      <w:pPr>
        <w:rPr>
          <w:rFonts w:asciiTheme="majorHAnsi" w:hAnsiTheme="majorHAnsi"/>
        </w:rPr>
      </w:pPr>
      <w:r w:rsidRPr="007564DF">
        <w:rPr>
          <w:rFonts w:asciiTheme="majorHAnsi" w:hAnsiTheme="majorHAnsi"/>
          <w:b/>
        </w:rPr>
        <w:t xml:space="preserve">Respect: </w:t>
      </w:r>
      <w:r w:rsidRPr="007564DF">
        <w:rPr>
          <w:rFonts w:asciiTheme="majorHAnsi" w:hAnsiTheme="majorHAnsi"/>
        </w:rPr>
        <w:t xml:space="preserve">We are all working together.  We should respect one another and treat others as we wish to be treated. </w:t>
      </w:r>
    </w:p>
    <w:p w:rsidR="009303AA" w:rsidRPr="003907ED" w:rsidRDefault="009303AA" w:rsidP="009303AA">
      <w:pPr>
        <w:pStyle w:val="NormalWeb"/>
        <w:rPr>
          <w:rFonts w:asciiTheme="majorHAnsi" w:hAnsiTheme="majorHAnsi"/>
          <w:sz w:val="22"/>
          <w:szCs w:val="22"/>
        </w:rPr>
      </w:pPr>
      <w:r>
        <w:rPr>
          <w:rFonts w:asciiTheme="majorHAnsi" w:hAnsiTheme="majorHAnsi"/>
          <w:b/>
          <w:sz w:val="22"/>
          <w:szCs w:val="22"/>
        </w:rPr>
        <w:t xml:space="preserve">Cell Phones and other Electronic Devices: </w:t>
      </w:r>
      <w:r>
        <w:rPr>
          <w:rFonts w:asciiTheme="majorHAnsi" w:hAnsiTheme="majorHAnsi"/>
          <w:sz w:val="22"/>
          <w:szCs w:val="22"/>
        </w:rPr>
        <w:t>There is a simple rule: turn them off and put them away while in class.</w:t>
      </w:r>
    </w:p>
    <w:p w:rsidR="009303AA" w:rsidRPr="007564DF" w:rsidRDefault="009303AA" w:rsidP="009303AA">
      <w:pPr>
        <w:rPr>
          <w:rFonts w:asciiTheme="majorHAnsi" w:hAnsiTheme="majorHAnsi"/>
        </w:rPr>
      </w:pPr>
      <w:r w:rsidRPr="007564DF">
        <w:rPr>
          <w:rFonts w:asciiTheme="majorHAnsi" w:hAnsiTheme="majorHAnsi"/>
          <w:b/>
        </w:rPr>
        <w:t xml:space="preserve">Preparation:  </w:t>
      </w:r>
      <w:r w:rsidRPr="007564DF">
        <w:rPr>
          <w:rFonts w:asciiTheme="majorHAnsi" w:hAnsiTheme="majorHAnsi"/>
        </w:rPr>
        <w:t>Be prepared for class every</w:t>
      </w:r>
      <w:r>
        <w:rPr>
          <w:rFonts w:asciiTheme="majorHAnsi" w:hAnsiTheme="majorHAnsi"/>
        </w:rPr>
        <w:t xml:space="preserve"> </w:t>
      </w:r>
      <w:r w:rsidRPr="007564DF">
        <w:rPr>
          <w:rFonts w:asciiTheme="majorHAnsi" w:hAnsiTheme="majorHAnsi"/>
        </w:rPr>
        <w:t>day!  Please bring your textbook, notepaper and writing implements to class every day.</w:t>
      </w:r>
    </w:p>
    <w:p w:rsidR="009303AA" w:rsidRPr="00342FCF" w:rsidRDefault="009303AA" w:rsidP="009303A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rPr>
          <w:rFonts w:asciiTheme="majorHAnsi" w:hAnsiTheme="majorHAnsi"/>
        </w:rPr>
      </w:pPr>
      <w:r w:rsidRPr="00342FCF">
        <w:rPr>
          <w:rFonts w:asciiTheme="majorHAnsi" w:hAnsiTheme="majorHAnsi"/>
          <w:b/>
          <w:bCs/>
        </w:rPr>
        <w:t xml:space="preserve">Late Work: </w:t>
      </w:r>
      <w:r w:rsidRPr="00342FCF">
        <w:rPr>
          <w:rFonts w:asciiTheme="majorHAnsi" w:hAnsiTheme="majorHAnsi"/>
        </w:rPr>
        <w:t xml:space="preserve">It is important to get your work done on time. Use a planner and be organized. </w:t>
      </w:r>
      <w:r>
        <w:rPr>
          <w:rFonts w:asciiTheme="majorHAnsi" w:hAnsiTheme="majorHAnsi"/>
        </w:rPr>
        <w:t>There is a specific due date for each assignment and late work will not receive full credit.</w:t>
      </w:r>
    </w:p>
    <w:p w:rsidR="009303AA" w:rsidRDefault="009303AA"/>
    <w:p w:rsidR="008B56C4" w:rsidRDefault="008B56C4"/>
    <w:p w:rsidR="008B56C4" w:rsidRDefault="008B56C4"/>
    <w:p w:rsidR="008B56C4" w:rsidRDefault="008B56C4"/>
    <w:p w:rsidR="008B56C4" w:rsidRDefault="008B56C4"/>
    <w:p w:rsidR="008B56C4" w:rsidRDefault="008B56C4"/>
    <w:p w:rsidR="001359FC" w:rsidRDefault="001359FC" w:rsidP="001359FC">
      <w:pPr>
        <w:rPr>
          <w:rFonts w:asciiTheme="majorHAnsi" w:hAnsiTheme="majorHAnsi"/>
          <w:b/>
        </w:rPr>
      </w:pPr>
      <w:r w:rsidRPr="001359FC">
        <w:rPr>
          <w:rFonts w:asciiTheme="majorHAnsi" w:hAnsiTheme="majorHAnsi"/>
          <w:b/>
        </w:rPr>
        <w:lastRenderedPageBreak/>
        <w:t>COURSE REQUIREMENTS</w:t>
      </w:r>
    </w:p>
    <w:p w:rsidR="001359FC" w:rsidRDefault="008B56C4" w:rsidP="001359FC">
      <w:pPr>
        <w:rPr>
          <w:rFonts w:asciiTheme="majorHAnsi" w:hAnsiTheme="majorHAnsi"/>
        </w:rPr>
      </w:pPr>
      <w:r w:rsidRPr="008B56C4">
        <w:rPr>
          <w:rFonts w:asciiTheme="majorHAnsi" w:hAnsiTheme="majorHAnsi"/>
        </w:rPr>
        <w:t>Your final grade will be based on the following</w:t>
      </w:r>
    </w:p>
    <w:p w:rsidR="008B56C4" w:rsidRDefault="008B56C4" w:rsidP="008B56C4">
      <w:pPr>
        <w:pStyle w:val="ListParagraph"/>
        <w:numPr>
          <w:ilvl w:val="0"/>
          <w:numId w:val="1"/>
        </w:numPr>
        <w:rPr>
          <w:rFonts w:asciiTheme="majorHAnsi" w:hAnsiTheme="majorHAnsi"/>
        </w:rPr>
      </w:pPr>
      <w:r>
        <w:rPr>
          <w:rFonts w:asciiTheme="majorHAnsi" w:hAnsiTheme="majorHAnsi"/>
        </w:rPr>
        <w:t>Attendance</w:t>
      </w:r>
      <w:r>
        <w:rPr>
          <w:rFonts w:asciiTheme="majorHAnsi" w:hAnsiTheme="majorHAnsi"/>
        </w:rPr>
        <w:tab/>
      </w:r>
      <w:r>
        <w:rPr>
          <w:rFonts w:asciiTheme="majorHAnsi" w:hAnsiTheme="majorHAnsi"/>
        </w:rPr>
        <w:tab/>
        <w:t>10%</w:t>
      </w:r>
    </w:p>
    <w:p w:rsidR="008B56C4" w:rsidRDefault="008B56C4" w:rsidP="008B56C4">
      <w:pPr>
        <w:pStyle w:val="ListParagraph"/>
        <w:numPr>
          <w:ilvl w:val="0"/>
          <w:numId w:val="1"/>
        </w:numPr>
        <w:rPr>
          <w:rFonts w:asciiTheme="majorHAnsi" w:hAnsiTheme="majorHAnsi"/>
        </w:rPr>
      </w:pPr>
      <w:r>
        <w:rPr>
          <w:rFonts w:asciiTheme="majorHAnsi" w:hAnsiTheme="majorHAnsi"/>
        </w:rPr>
        <w:t>Participation</w:t>
      </w:r>
      <w:r>
        <w:rPr>
          <w:rFonts w:asciiTheme="majorHAnsi" w:hAnsiTheme="majorHAnsi"/>
        </w:rPr>
        <w:tab/>
      </w:r>
      <w:r>
        <w:rPr>
          <w:rFonts w:asciiTheme="majorHAnsi" w:hAnsiTheme="majorHAnsi"/>
        </w:rPr>
        <w:tab/>
        <w:t>30%</w:t>
      </w:r>
    </w:p>
    <w:p w:rsidR="008B56C4" w:rsidRDefault="008B56C4" w:rsidP="008B56C4">
      <w:pPr>
        <w:pStyle w:val="ListParagraph"/>
        <w:numPr>
          <w:ilvl w:val="0"/>
          <w:numId w:val="1"/>
        </w:numPr>
        <w:rPr>
          <w:rFonts w:asciiTheme="majorHAnsi" w:hAnsiTheme="majorHAnsi"/>
        </w:rPr>
      </w:pPr>
      <w:r>
        <w:rPr>
          <w:rFonts w:asciiTheme="majorHAnsi" w:hAnsiTheme="majorHAnsi"/>
        </w:rPr>
        <w:t>ALC</w:t>
      </w:r>
      <w:r>
        <w:rPr>
          <w:rFonts w:asciiTheme="majorHAnsi" w:hAnsiTheme="majorHAnsi"/>
        </w:rPr>
        <w:tab/>
      </w:r>
      <w:r>
        <w:rPr>
          <w:rFonts w:asciiTheme="majorHAnsi" w:hAnsiTheme="majorHAnsi"/>
        </w:rPr>
        <w:tab/>
      </w:r>
      <w:r>
        <w:rPr>
          <w:rFonts w:asciiTheme="majorHAnsi" w:hAnsiTheme="majorHAnsi"/>
        </w:rPr>
        <w:tab/>
        <w:t>20%</w:t>
      </w:r>
    </w:p>
    <w:p w:rsidR="008B56C4" w:rsidRDefault="008B56C4" w:rsidP="008B56C4">
      <w:pPr>
        <w:pStyle w:val="ListParagraph"/>
        <w:numPr>
          <w:ilvl w:val="0"/>
          <w:numId w:val="1"/>
        </w:numPr>
        <w:rPr>
          <w:rFonts w:asciiTheme="majorHAnsi" w:hAnsiTheme="majorHAnsi"/>
        </w:rPr>
      </w:pPr>
      <w:r>
        <w:rPr>
          <w:rFonts w:asciiTheme="majorHAnsi" w:hAnsiTheme="majorHAnsi"/>
        </w:rPr>
        <w:t>Discussion Lead</w:t>
      </w:r>
      <w:r>
        <w:rPr>
          <w:rFonts w:asciiTheme="majorHAnsi" w:hAnsiTheme="majorHAnsi"/>
        </w:rPr>
        <w:tab/>
        <w:t>20%</w:t>
      </w:r>
    </w:p>
    <w:p w:rsidR="008B56C4" w:rsidRPr="008B56C4" w:rsidRDefault="008B56C4" w:rsidP="008B56C4">
      <w:pPr>
        <w:pStyle w:val="ListParagraph"/>
        <w:numPr>
          <w:ilvl w:val="0"/>
          <w:numId w:val="1"/>
        </w:numPr>
        <w:rPr>
          <w:rFonts w:asciiTheme="majorHAnsi" w:hAnsiTheme="majorHAnsi"/>
        </w:rPr>
      </w:pPr>
      <w:r>
        <w:rPr>
          <w:rFonts w:asciiTheme="majorHAnsi" w:hAnsiTheme="majorHAnsi"/>
        </w:rPr>
        <w:t>Vocabulary Log</w:t>
      </w:r>
      <w:r>
        <w:rPr>
          <w:rFonts w:asciiTheme="majorHAnsi" w:hAnsiTheme="majorHAnsi"/>
        </w:rPr>
        <w:tab/>
        <w:t>20%</w:t>
      </w:r>
    </w:p>
    <w:p w:rsidR="008B56C4" w:rsidRDefault="008B56C4" w:rsidP="008B56C4">
      <w:pPr>
        <w:rPr>
          <w:rFonts w:asciiTheme="majorHAnsi" w:hAnsiTheme="majorHAnsi"/>
          <w:b/>
        </w:rPr>
      </w:pPr>
    </w:p>
    <w:p w:rsidR="008B56C4" w:rsidRPr="008B56C4" w:rsidRDefault="008B56C4" w:rsidP="008B56C4">
      <w:pPr>
        <w:rPr>
          <w:rFonts w:asciiTheme="majorHAnsi" w:hAnsiTheme="majorHAnsi"/>
          <w:b/>
        </w:rPr>
      </w:pPr>
      <w:r w:rsidRPr="008B56C4">
        <w:rPr>
          <w:rFonts w:asciiTheme="majorHAnsi" w:hAnsiTheme="majorHAnsi"/>
          <w:b/>
        </w:rPr>
        <w:t>Your grade will be based on the following scale:</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72"/>
        <w:gridCol w:w="1872"/>
        <w:gridCol w:w="1872"/>
        <w:gridCol w:w="1872"/>
        <w:gridCol w:w="1872"/>
      </w:tblGrid>
      <w:tr w:rsidR="008B56C4" w:rsidRPr="00342FCF" w:rsidTr="00995AC8">
        <w:tc>
          <w:tcPr>
            <w:tcW w:w="1872" w:type="dxa"/>
            <w:tcBorders>
              <w:top w:val="double" w:sz="4" w:space="0" w:color="auto"/>
              <w:left w:val="double" w:sz="4" w:space="0" w:color="auto"/>
              <w:bottom w:val="single" w:sz="4" w:space="0" w:color="auto"/>
              <w:right w:val="single" w:sz="4" w:space="0" w:color="auto"/>
            </w:tcBorders>
          </w:tcPr>
          <w:p w:rsidR="008B56C4" w:rsidRPr="00342FCF" w:rsidRDefault="008B56C4" w:rsidP="00995A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342FCF">
              <w:rPr>
                <w:rFonts w:ascii="Calibri" w:hAnsi="Calibri"/>
              </w:rPr>
              <w:t xml:space="preserve">A   94-100%        </w:t>
            </w:r>
          </w:p>
        </w:tc>
        <w:tc>
          <w:tcPr>
            <w:tcW w:w="1872" w:type="dxa"/>
            <w:tcBorders>
              <w:top w:val="double" w:sz="4" w:space="0" w:color="auto"/>
              <w:left w:val="single" w:sz="6" w:space="0" w:color="auto"/>
              <w:bottom w:val="single" w:sz="4" w:space="0" w:color="auto"/>
              <w:right w:val="single" w:sz="4" w:space="0" w:color="auto"/>
            </w:tcBorders>
          </w:tcPr>
          <w:p w:rsidR="008B56C4" w:rsidRPr="00342FCF" w:rsidRDefault="008B56C4" w:rsidP="00995A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342FCF">
              <w:rPr>
                <w:rFonts w:ascii="Calibri" w:hAnsi="Calibri"/>
              </w:rPr>
              <w:t>B+  87-89</w:t>
            </w:r>
          </w:p>
        </w:tc>
        <w:tc>
          <w:tcPr>
            <w:tcW w:w="1872" w:type="dxa"/>
            <w:tcBorders>
              <w:top w:val="double" w:sz="4" w:space="0" w:color="auto"/>
              <w:left w:val="single" w:sz="6" w:space="0" w:color="auto"/>
              <w:bottom w:val="single" w:sz="4" w:space="0" w:color="auto"/>
              <w:right w:val="single" w:sz="4" w:space="0" w:color="auto"/>
            </w:tcBorders>
          </w:tcPr>
          <w:p w:rsidR="008B56C4" w:rsidRPr="00342FCF" w:rsidRDefault="008B56C4" w:rsidP="00995A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342FCF">
              <w:rPr>
                <w:rFonts w:ascii="Calibri" w:hAnsi="Calibri"/>
              </w:rPr>
              <w:t>C+  77-79</w:t>
            </w:r>
          </w:p>
        </w:tc>
        <w:tc>
          <w:tcPr>
            <w:tcW w:w="1872" w:type="dxa"/>
            <w:tcBorders>
              <w:top w:val="double" w:sz="4" w:space="0" w:color="auto"/>
              <w:left w:val="single" w:sz="6" w:space="0" w:color="auto"/>
              <w:bottom w:val="single" w:sz="4" w:space="0" w:color="auto"/>
              <w:right w:val="single" w:sz="4" w:space="0" w:color="auto"/>
            </w:tcBorders>
          </w:tcPr>
          <w:p w:rsidR="008B56C4" w:rsidRPr="00342FCF" w:rsidRDefault="008B56C4" w:rsidP="00995A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342FCF">
              <w:rPr>
                <w:rFonts w:ascii="Calibri" w:hAnsi="Calibri"/>
              </w:rPr>
              <w:t>D+  67-69</w:t>
            </w:r>
          </w:p>
        </w:tc>
        <w:tc>
          <w:tcPr>
            <w:tcW w:w="1872" w:type="dxa"/>
            <w:tcBorders>
              <w:top w:val="double" w:sz="4" w:space="0" w:color="auto"/>
              <w:left w:val="single" w:sz="6" w:space="0" w:color="auto"/>
              <w:bottom w:val="single" w:sz="4" w:space="0" w:color="auto"/>
              <w:right w:val="double" w:sz="4" w:space="0" w:color="auto"/>
            </w:tcBorders>
          </w:tcPr>
          <w:p w:rsidR="008B56C4" w:rsidRPr="00342FCF" w:rsidRDefault="008B56C4" w:rsidP="00995A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342FCF">
              <w:rPr>
                <w:rFonts w:ascii="Calibri" w:hAnsi="Calibri"/>
              </w:rPr>
              <w:t>E  59 and below</w:t>
            </w:r>
          </w:p>
        </w:tc>
      </w:tr>
      <w:tr w:rsidR="008B56C4" w:rsidRPr="00342FCF" w:rsidTr="00995AC8">
        <w:tc>
          <w:tcPr>
            <w:tcW w:w="1872" w:type="dxa"/>
            <w:tcBorders>
              <w:top w:val="single" w:sz="6" w:space="0" w:color="auto"/>
              <w:left w:val="double" w:sz="4" w:space="0" w:color="auto"/>
              <w:bottom w:val="single" w:sz="4" w:space="0" w:color="auto"/>
              <w:right w:val="single" w:sz="4" w:space="0" w:color="auto"/>
            </w:tcBorders>
          </w:tcPr>
          <w:p w:rsidR="008B56C4" w:rsidRPr="00342FCF" w:rsidRDefault="008B56C4" w:rsidP="00995A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342FCF">
              <w:rPr>
                <w:rFonts w:ascii="Calibri" w:hAnsi="Calibri"/>
              </w:rPr>
              <w:t xml:space="preserve">A-  90-93  </w:t>
            </w:r>
          </w:p>
        </w:tc>
        <w:tc>
          <w:tcPr>
            <w:tcW w:w="1872" w:type="dxa"/>
            <w:tcBorders>
              <w:top w:val="single" w:sz="6" w:space="0" w:color="auto"/>
              <w:left w:val="single" w:sz="6" w:space="0" w:color="auto"/>
              <w:bottom w:val="single" w:sz="4" w:space="0" w:color="auto"/>
              <w:right w:val="single" w:sz="4" w:space="0" w:color="auto"/>
            </w:tcBorders>
          </w:tcPr>
          <w:p w:rsidR="008B56C4" w:rsidRPr="00342FCF" w:rsidRDefault="008B56C4" w:rsidP="00995A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342FCF">
              <w:rPr>
                <w:rFonts w:ascii="Calibri" w:hAnsi="Calibri"/>
              </w:rPr>
              <w:t>B    84-86</w:t>
            </w:r>
          </w:p>
        </w:tc>
        <w:tc>
          <w:tcPr>
            <w:tcW w:w="1872" w:type="dxa"/>
            <w:tcBorders>
              <w:top w:val="single" w:sz="6" w:space="0" w:color="auto"/>
              <w:left w:val="single" w:sz="6" w:space="0" w:color="auto"/>
              <w:bottom w:val="single" w:sz="4" w:space="0" w:color="auto"/>
              <w:right w:val="single" w:sz="4" w:space="0" w:color="auto"/>
            </w:tcBorders>
          </w:tcPr>
          <w:p w:rsidR="008B56C4" w:rsidRPr="00342FCF" w:rsidRDefault="008B56C4" w:rsidP="00995A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342FCF">
              <w:rPr>
                <w:rFonts w:ascii="Calibri" w:hAnsi="Calibri"/>
              </w:rPr>
              <w:t>C    74-76</w:t>
            </w:r>
          </w:p>
        </w:tc>
        <w:tc>
          <w:tcPr>
            <w:tcW w:w="1872" w:type="dxa"/>
            <w:tcBorders>
              <w:top w:val="single" w:sz="6" w:space="0" w:color="auto"/>
              <w:left w:val="single" w:sz="6" w:space="0" w:color="auto"/>
              <w:bottom w:val="single" w:sz="4" w:space="0" w:color="auto"/>
              <w:right w:val="single" w:sz="4" w:space="0" w:color="auto"/>
            </w:tcBorders>
          </w:tcPr>
          <w:p w:rsidR="008B56C4" w:rsidRPr="00342FCF" w:rsidRDefault="008B56C4" w:rsidP="00995A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342FCF">
              <w:rPr>
                <w:rFonts w:ascii="Calibri" w:hAnsi="Calibri"/>
              </w:rPr>
              <w:t>D     64-66</w:t>
            </w:r>
          </w:p>
        </w:tc>
        <w:tc>
          <w:tcPr>
            <w:tcW w:w="1872" w:type="dxa"/>
            <w:tcBorders>
              <w:top w:val="single" w:sz="6" w:space="0" w:color="auto"/>
              <w:left w:val="single" w:sz="6" w:space="0" w:color="auto"/>
              <w:bottom w:val="single" w:sz="4" w:space="0" w:color="auto"/>
              <w:right w:val="double" w:sz="4" w:space="0" w:color="auto"/>
            </w:tcBorders>
          </w:tcPr>
          <w:p w:rsidR="008B56C4" w:rsidRPr="00342FCF" w:rsidRDefault="008B56C4" w:rsidP="00995AC8">
            <w:pPr>
              <w:rPr>
                <w:rFonts w:ascii="Calibri" w:hAnsi="Calibri"/>
              </w:rPr>
            </w:pPr>
          </w:p>
        </w:tc>
      </w:tr>
      <w:tr w:rsidR="008B56C4" w:rsidRPr="00342FCF" w:rsidTr="00995AC8">
        <w:tc>
          <w:tcPr>
            <w:tcW w:w="1872" w:type="dxa"/>
            <w:tcBorders>
              <w:top w:val="single" w:sz="6" w:space="0" w:color="auto"/>
              <w:left w:val="double" w:sz="4" w:space="0" w:color="auto"/>
              <w:bottom w:val="double" w:sz="4" w:space="0" w:color="auto"/>
              <w:right w:val="single" w:sz="4" w:space="0" w:color="auto"/>
            </w:tcBorders>
          </w:tcPr>
          <w:p w:rsidR="008B56C4" w:rsidRPr="00342FCF" w:rsidRDefault="008B56C4" w:rsidP="00995AC8">
            <w:pPr>
              <w:tabs>
                <w:tab w:val="left" w:pos="-1440"/>
                <w:tab w:val="left" w:pos="-720"/>
                <w:tab w:val="left" w:pos="1380"/>
              </w:tabs>
              <w:rPr>
                <w:rFonts w:ascii="Calibri" w:hAnsi="Calibri"/>
              </w:rPr>
            </w:pPr>
            <w:r w:rsidRPr="00342FCF">
              <w:rPr>
                <w:rFonts w:ascii="Calibri" w:hAnsi="Calibri"/>
              </w:rPr>
              <w:t xml:space="preserve">           </w:t>
            </w:r>
            <w:r w:rsidRPr="00342FCF">
              <w:rPr>
                <w:rFonts w:ascii="Calibri" w:hAnsi="Calibri"/>
              </w:rPr>
              <w:tab/>
            </w:r>
          </w:p>
        </w:tc>
        <w:tc>
          <w:tcPr>
            <w:tcW w:w="1872" w:type="dxa"/>
            <w:tcBorders>
              <w:top w:val="single" w:sz="6" w:space="0" w:color="auto"/>
              <w:left w:val="single" w:sz="6" w:space="0" w:color="auto"/>
              <w:bottom w:val="double" w:sz="4" w:space="0" w:color="auto"/>
              <w:right w:val="single" w:sz="4" w:space="0" w:color="auto"/>
            </w:tcBorders>
          </w:tcPr>
          <w:p w:rsidR="008B56C4" w:rsidRPr="00342FCF" w:rsidRDefault="008B56C4" w:rsidP="00995A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342FCF">
              <w:rPr>
                <w:rFonts w:ascii="Calibri" w:hAnsi="Calibri"/>
              </w:rPr>
              <w:t>B-   80-83</w:t>
            </w:r>
          </w:p>
        </w:tc>
        <w:tc>
          <w:tcPr>
            <w:tcW w:w="1872" w:type="dxa"/>
            <w:tcBorders>
              <w:top w:val="single" w:sz="6" w:space="0" w:color="auto"/>
              <w:left w:val="single" w:sz="6" w:space="0" w:color="auto"/>
              <w:bottom w:val="double" w:sz="4" w:space="0" w:color="auto"/>
              <w:right w:val="single" w:sz="4" w:space="0" w:color="auto"/>
            </w:tcBorders>
          </w:tcPr>
          <w:p w:rsidR="008B56C4" w:rsidRPr="00342FCF" w:rsidRDefault="008B56C4" w:rsidP="00995A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342FCF">
              <w:rPr>
                <w:rFonts w:ascii="Calibri" w:hAnsi="Calibri"/>
              </w:rPr>
              <w:t>C-   70-73</w:t>
            </w:r>
          </w:p>
        </w:tc>
        <w:tc>
          <w:tcPr>
            <w:tcW w:w="1872" w:type="dxa"/>
            <w:tcBorders>
              <w:top w:val="single" w:sz="6" w:space="0" w:color="auto"/>
              <w:left w:val="single" w:sz="6" w:space="0" w:color="auto"/>
              <w:bottom w:val="double" w:sz="4" w:space="0" w:color="auto"/>
              <w:right w:val="single" w:sz="4" w:space="0" w:color="auto"/>
            </w:tcBorders>
          </w:tcPr>
          <w:p w:rsidR="008B56C4" w:rsidRPr="00342FCF" w:rsidRDefault="008B56C4" w:rsidP="00995A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rPr>
            </w:pPr>
            <w:r w:rsidRPr="00342FCF">
              <w:rPr>
                <w:rFonts w:ascii="Calibri" w:hAnsi="Calibri"/>
              </w:rPr>
              <w:t>D-    60-63</w:t>
            </w:r>
          </w:p>
        </w:tc>
        <w:tc>
          <w:tcPr>
            <w:tcW w:w="1872" w:type="dxa"/>
            <w:tcBorders>
              <w:top w:val="single" w:sz="6" w:space="0" w:color="auto"/>
              <w:left w:val="single" w:sz="6" w:space="0" w:color="auto"/>
              <w:bottom w:val="double" w:sz="4" w:space="0" w:color="auto"/>
              <w:right w:val="double" w:sz="4" w:space="0" w:color="auto"/>
            </w:tcBorders>
          </w:tcPr>
          <w:p w:rsidR="008B56C4" w:rsidRPr="00342FCF" w:rsidRDefault="008B56C4" w:rsidP="00995AC8">
            <w:pPr>
              <w:rPr>
                <w:rFonts w:ascii="Calibri" w:hAnsi="Calibri"/>
              </w:rPr>
            </w:pPr>
          </w:p>
        </w:tc>
      </w:tr>
    </w:tbl>
    <w:p w:rsidR="008B56C4" w:rsidRPr="008B56C4" w:rsidRDefault="008B56C4" w:rsidP="008B56C4">
      <w:pPr>
        <w:pStyle w:val="ListParagraph"/>
        <w:rPr>
          <w:rFonts w:asciiTheme="majorHAnsi" w:hAnsiTheme="majorHAnsi"/>
        </w:rPr>
      </w:pPr>
    </w:p>
    <w:p w:rsidR="008B56C4" w:rsidRPr="008B56C4" w:rsidRDefault="008B56C4" w:rsidP="008B56C4">
      <w:pPr>
        <w:spacing w:after="0" w:line="240" w:lineRule="auto"/>
        <w:rPr>
          <w:rFonts w:asciiTheme="majorHAnsi" w:hAnsiTheme="majorHAnsi" w:cs="Arial"/>
        </w:rPr>
      </w:pPr>
      <w:r w:rsidRPr="008B56C4">
        <w:rPr>
          <w:rFonts w:asciiTheme="majorHAnsi" w:hAnsiTheme="majorHAnsi" w:cs="Arial"/>
          <w:b/>
        </w:rPr>
        <w:t xml:space="preserve">1. Attendance (10%): </w:t>
      </w:r>
      <w:r w:rsidRPr="008B56C4">
        <w:rPr>
          <w:rFonts w:asciiTheme="majorHAnsi" w:hAnsiTheme="majorHAnsi" w:cs="Arial"/>
        </w:rPr>
        <w:t xml:space="preserve">Demonstrate commitment to this course by regular attendance. Attendance is recorded every class session and missed classes will affect your grade negatively. </w:t>
      </w:r>
    </w:p>
    <w:p w:rsidR="008B56C4" w:rsidRPr="008B56C4" w:rsidRDefault="008B56C4" w:rsidP="008B56C4">
      <w:pPr>
        <w:pStyle w:val="ListParagraph"/>
        <w:spacing w:after="0" w:line="240" w:lineRule="auto"/>
        <w:rPr>
          <w:rFonts w:asciiTheme="majorHAnsi" w:hAnsiTheme="majorHAnsi" w:cs="Arial"/>
          <w:b/>
        </w:rPr>
      </w:pPr>
    </w:p>
    <w:p w:rsidR="001359FC" w:rsidRDefault="008B56C4" w:rsidP="008B56C4">
      <w:pPr>
        <w:rPr>
          <w:rFonts w:asciiTheme="majorHAnsi" w:hAnsiTheme="majorHAnsi"/>
        </w:rPr>
      </w:pPr>
      <w:r>
        <w:rPr>
          <w:rFonts w:asciiTheme="majorHAnsi" w:hAnsiTheme="majorHAnsi" w:cs="Arial"/>
          <w:b/>
        </w:rPr>
        <w:t>2. Participation (3</w:t>
      </w:r>
      <w:r w:rsidRPr="008B56C4">
        <w:rPr>
          <w:rFonts w:asciiTheme="majorHAnsi" w:hAnsiTheme="majorHAnsi" w:cs="Arial"/>
          <w:b/>
        </w:rPr>
        <w:t>0%):</w:t>
      </w:r>
      <w:r>
        <w:rPr>
          <w:rFonts w:asciiTheme="majorHAnsi" w:hAnsiTheme="majorHAnsi" w:cs="Arial"/>
          <w:b/>
        </w:rPr>
        <w:t xml:space="preserve"> </w:t>
      </w:r>
      <w:r w:rsidRPr="00B12B9D">
        <w:rPr>
          <w:rFonts w:asciiTheme="majorHAnsi" w:hAnsiTheme="majorHAnsi"/>
        </w:rPr>
        <w:t>The most significant portion of this course involves your level of commitment. What you get out of this class will be proportional to what you put into it! Participation is therefore essential.</w:t>
      </w:r>
      <w:r>
        <w:rPr>
          <w:rFonts w:asciiTheme="majorHAnsi" w:hAnsiTheme="majorHAnsi"/>
        </w:rPr>
        <w:t xml:space="preserve"> Since this is a conversation class the expectation is that you will do your best to be part of the conversation. We will work as a class and in smaller groups and you will have every opportunity to contribute. You do not have to speak perfect English! There would be no need for this class if everyone spoke perfectly. Mistakes are expected and are part of learning.</w:t>
      </w:r>
    </w:p>
    <w:p w:rsidR="008B56C4" w:rsidRDefault="008B56C4" w:rsidP="008B56C4">
      <w:pPr>
        <w:rPr>
          <w:rFonts w:asciiTheme="majorHAnsi" w:hAnsiTheme="majorHAnsi"/>
        </w:rPr>
      </w:pPr>
      <w:r>
        <w:rPr>
          <w:rFonts w:asciiTheme="majorHAnsi" w:hAnsiTheme="majorHAnsi"/>
          <w:b/>
        </w:rPr>
        <w:t xml:space="preserve">3. ALC (Academic Literacy Center) (20%): </w:t>
      </w:r>
      <w:r w:rsidR="00113DB0">
        <w:rPr>
          <w:rFonts w:asciiTheme="majorHAnsi" w:hAnsiTheme="majorHAnsi"/>
        </w:rPr>
        <w:t>Located in TB 430, the ALC is available for students who need help with reading, speaking, and other English language skills. You will meet with a tutor at least twelve (12) times during the semester to practice conversation. You must write a brief summary or log of each session and submit through Canvas. This is a great additional opportunity for you to practice English. Please note that you should be prepared for the tutoring session by knowing in advance the subject area you wish to discuss. In other words, do not put the burden on the tutor to come up with conversation topics.</w:t>
      </w:r>
    </w:p>
    <w:p w:rsidR="00113DB0" w:rsidRDefault="00113DB0" w:rsidP="008B56C4">
      <w:pPr>
        <w:rPr>
          <w:rFonts w:asciiTheme="majorHAnsi" w:hAnsiTheme="majorHAnsi"/>
        </w:rPr>
      </w:pPr>
      <w:r>
        <w:rPr>
          <w:rFonts w:asciiTheme="majorHAnsi" w:hAnsiTheme="majorHAnsi"/>
          <w:b/>
        </w:rPr>
        <w:t>4. Discussion Lead (20%):</w:t>
      </w:r>
      <w:r>
        <w:rPr>
          <w:rFonts w:asciiTheme="majorHAnsi" w:hAnsiTheme="majorHAnsi"/>
        </w:rPr>
        <w:t xml:space="preserve"> For this assignment you will lead a discussion in the class. Pick a topic of your choice, present it to the class, answer questions, and finally we will all join in a discussion about your topic. You will get to be the discussion lead twice during the semester.</w:t>
      </w:r>
    </w:p>
    <w:p w:rsidR="00113DB0" w:rsidRDefault="00113DB0" w:rsidP="008B56C4">
      <w:pPr>
        <w:rPr>
          <w:rFonts w:asciiTheme="majorHAnsi" w:hAnsiTheme="majorHAnsi"/>
        </w:rPr>
      </w:pPr>
      <w:r>
        <w:rPr>
          <w:rFonts w:asciiTheme="majorHAnsi" w:hAnsiTheme="majorHAnsi"/>
          <w:b/>
        </w:rPr>
        <w:t xml:space="preserve">5. Vocabulary Log (20%): </w:t>
      </w:r>
      <w:r w:rsidR="00691E2F">
        <w:rPr>
          <w:rFonts w:asciiTheme="majorHAnsi" w:hAnsiTheme="majorHAnsi"/>
        </w:rPr>
        <w:t xml:space="preserve">Without increasing and expanding your vocabulary your conversation skills will be limited. Therefore, as you come across new words and phrases in this class and </w:t>
      </w:r>
      <w:r w:rsidR="00691E2F">
        <w:rPr>
          <w:rFonts w:asciiTheme="majorHAnsi" w:hAnsiTheme="majorHAnsi"/>
        </w:rPr>
        <w:lastRenderedPageBreak/>
        <w:t xml:space="preserve">elsewhere I would like you to keep a log. Submit the log once a week through Canvas with at least ten (10) words or phrases and a sentence demonstrating how you would use the word or phrase. </w:t>
      </w:r>
    </w:p>
    <w:p w:rsidR="00691E2F" w:rsidRDefault="00691E2F" w:rsidP="008B56C4">
      <w:pPr>
        <w:rPr>
          <w:rFonts w:asciiTheme="majorHAnsi" w:hAnsiTheme="majorHAnsi"/>
        </w:rPr>
      </w:pPr>
    </w:p>
    <w:p w:rsidR="002B0F19" w:rsidRDefault="002B0F19" w:rsidP="002B0F19">
      <w:pPr>
        <w:rPr>
          <w:rFonts w:asciiTheme="majorHAnsi" w:hAnsiTheme="majorHAnsi"/>
          <w:b/>
        </w:rPr>
      </w:pPr>
      <w:r>
        <w:rPr>
          <w:rFonts w:asciiTheme="majorHAnsi" w:hAnsiTheme="majorHAnsi"/>
          <w:b/>
        </w:rPr>
        <w:t>Important Dates</w:t>
      </w:r>
      <w:r>
        <w:rPr>
          <w:rStyle w:val="FootnoteReference"/>
          <w:rFonts w:asciiTheme="majorHAnsi" w:hAnsiTheme="majorHAnsi"/>
          <w:b/>
        </w:rPr>
        <w:footnoteReference w:id="1"/>
      </w:r>
    </w:p>
    <w:p w:rsidR="002B0F19" w:rsidRDefault="002B0F19" w:rsidP="002B0F19">
      <w:pPr>
        <w:rPr>
          <w:rFonts w:asciiTheme="majorHAnsi" w:hAnsiTheme="majorHAnsi"/>
        </w:rPr>
      </w:pPr>
      <w:r>
        <w:rPr>
          <w:rFonts w:asciiTheme="majorHAnsi" w:hAnsiTheme="majorHAnsi"/>
        </w:rPr>
        <w:t>Mon Jan 18: Martin Luther King Jr. Day (no class)</w:t>
      </w:r>
    </w:p>
    <w:p w:rsidR="002B0F19" w:rsidRDefault="002B0F19" w:rsidP="002B0F19">
      <w:pPr>
        <w:rPr>
          <w:rFonts w:asciiTheme="majorHAnsi" w:hAnsiTheme="majorHAnsi"/>
        </w:rPr>
      </w:pPr>
      <w:r>
        <w:rPr>
          <w:rFonts w:asciiTheme="majorHAnsi" w:hAnsiTheme="majorHAnsi"/>
        </w:rPr>
        <w:t>Wed Jan 20: Last day to add classes</w:t>
      </w:r>
    </w:p>
    <w:p w:rsidR="002B0F19" w:rsidRDefault="002B0F19" w:rsidP="002B0F19">
      <w:pPr>
        <w:rPr>
          <w:rFonts w:asciiTheme="majorHAnsi" w:hAnsiTheme="majorHAnsi"/>
        </w:rPr>
      </w:pPr>
      <w:r>
        <w:rPr>
          <w:rFonts w:asciiTheme="majorHAnsi" w:hAnsiTheme="majorHAnsi"/>
        </w:rPr>
        <w:t xml:space="preserve">Mon Feb 2: Last day to drop classes </w:t>
      </w:r>
    </w:p>
    <w:p w:rsidR="002B0F19" w:rsidRDefault="002B0F19" w:rsidP="002B0F19">
      <w:pPr>
        <w:rPr>
          <w:rFonts w:asciiTheme="majorHAnsi" w:hAnsiTheme="majorHAnsi"/>
        </w:rPr>
      </w:pPr>
      <w:r>
        <w:rPr>
          <w:rFonts w:asciiTheme="majorHAnsi" w:hAnsiTheme="majorHAnsi"/>
        </w:rPr>
        <w:t>Mon Feb 15: Presidents’ Day (no class)</w:t>
      </w:r>
    </w:p>
    <w:p w:rsidR="002B0F19" w:rsidRDefault="002B0F19" w:rsidP="002B0F19">
      <w:pPr>
        <w:rPr>
          <w:rFonts w:asciiTheme="majorHAnsi" w:hAnsiTheme="majorHAnsi"/>
        </w:rPr>
      </w:pPr>
      <w:r>
        <w:rPr>
          <w:rFonts w:asciiTheme="majorHAnsi" w:hAnsiTheme="majorHAnsi"/>
        </w:rPr>
        <w:t>Mar 14 - 18: Spring Break (no classes)</w:t>
      </w:r>
    </w:p>
    <w:p w:rsidR="002B0F19" w:rsidRDefault="002B0F19" w:rsidP="002B0F19">
      <w:pPr>
        <w:rPr>
          <w:rFonts w:asciiTheme="majorHAnsi" w:hAnsiTheme="majorHAnsi"/>
        </w:rPr>
      </w:pPr>
      <w:r>
        <w:rPr>
          <w:rFonts w:asciiTheme="majorHAnsi" w:hAnsiTheme="majorHAnsi"/>
        </w:rPr>
        <w:t>Tue Mar 22: Last day to withdraw from classes</w:t>
      </w:r>
    </w:p>
    <w:p w:rsidR="002B0F19" w:rsidRDefault="002B0F19" w:rsidP="002B0F19">
      <w:pPr>
        <w:rPr>
          <w:rFonts w:asciiTheme="majorHAnsi" w:hAnsiTheme="majorHAnsi"/>
        </w:rPr>
      </w:pPr>
      <w:r>
        <w:rPr>
          <w:rFonts w:asciiTheme="majorHAnsi" w:hAnsiTheme="majorHAnsi"/>
        </w:rPr>
        <w:t>Thu Apr 28: Last day of class</w:t>
      </w:r>
    </w:p>
    <w:p w:rsidR="002B0F19" w:rsidRPr="00C32F9B" w:rsidRDefault="002B0F19" w:rsidP="002B0F19">
      <w:pPr>
        <w:rPr>
          <w:rFonts w:asciiTheme="majorHAnsi" w:hAnsiTheme="majorHAnsi"/>
        </w:rPr>
      </w:pPr>
      <w:bookmarkStart w:id="0" w:name="_GoBack"/>
      <w:bookmarkEnd w:id="0"/>
      <w:r>
        <w:rPr>
          <w:rFonts w:asciiTheme="majorHAnsi" w:hAnsiTheme="majorHAnsi"/>
        </w:rPr>
        <w:t xml:space="preserve">(There is no final exam for </w:t>
      </w:r>
      <w:r>
        <w:rPr>
          <w:rFonts w:asciiTheme="majorHAnsi" w:hAnsiTheme="majorHAnsi"/>
        </w:rPr>
        <w:t>ESL 1030</w:t>
      </w:r>
      <w:r>
        <w:rPr>
          <w:rFonts w:asciiTheme="majorHAnsi" w:hAnsiTheme="majorHAnsi"/>
        </w:rPr>
        <w:t>)</w:t>
      </w:r>
    </w:p>
    <w:p w:rsidR="002B0F19" w:rsidRPr="00691E2F" w:rsidRDefault="002B0F19" w:rsidP="008B56C4">
      <w:pPr>
        <w:rPr>
          <w:rFonts w:asciiTheme="majorHAnsi" w:hAnsiTheme="majorHAnsi"/>
        </w:rPr>
      </w:pPr>
    </w:p>
    <w:p w:rsidR="008B56C4" w:rsidRDefault="008B56C4" w:rsidP="008B56C4"/>
    <w:sectPr w:rsidR="008B56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7F6" w:rsidRDefault="001807F6" w:rsidP="002B0F19">
      <w:pPr>
        <w:spacing w:after="0" w:line="240" w:lineRule="auto"/>
      </w:pPr>
      <w:r>
        <w:separator/>
      </w:r>
    </w:p>
  </w:endnote>
  <w:endnote w:type="continuationSeparator" w:id="0">
    <w:p w:rsidR="001807F6" w:rsidRDefault="001807F6" w:rsidP="002B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7F6" w:rsidRDefault="001807F6" w:rsidP="002B0F19">
      <w:pPr>
        <w:spacing w:after="0" w:line="240" w:lineRule="auto"/>
      </w:pPr>
      <w:r>
        <w:separator/>
      </w:r>
    </w:p>
  </w:footnote>
  <w:footnote w:type="continuationSeparator" w:id="0">
    <w:p w:rsidR="001807F6" w:rsidRDefault="001807F6" w:rsidP="002B0F19">
      <w:pPr>
        <w:spacing w:after="0" w:line="240" w:lineRule="auto"/>
      </w:pPr>
      <w:r>
        <w:continuationSeparator/>
      </w:r>
    </w:p>
  </w:footnote>
  <w:footnote w:id="1">
    <w:p w:rsidR="002B0F19" w:rsidRDefault="002B0F19" w:rsidP="002B0F19">
      <w:pPr>
        <w:pStyle w:val="FootnoteText"/>
      </w:pPr>
      <w:r>
        <w:rPr>
          <w:rStyle w:val="FootnoteReference"/>
        </w:rPr>
        <w:footnoteRef/>
      </w:r>
      <w:r>
        <w:t xml:space="preserve"> See Academic Calendar to verify dates </w:t>
      </w:r>
      <w:hyperlink r:id="rId1" w:anchor="spring" w:history="1">
        <w:r w:rsidRPr="00164209">
          <w:rPr>
            <w:rStyle w:val="Hyperlink"/>
          </w:rPr>
          <w:t>http://www.slcc.edu/academiccalendar/#spring</w:t>
        </w:r>
      </w:hyperlink>
    </w:p>
    <w:p w:rsidR="002B0F19" w:rsidRDefault="002B0F19" w:rsidP="002B0F1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6271"/>
    <w:multiLevelType w:val="hybridMultilevel"/>
    <w:tmpl w:val="8D1E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BF"/>
    <w:rsid w:val="00103B29"/>
    <w:rsid w:val="00113DB0"/>
    <w:rsid w:val="001359FC"/>
    <w:rsid w:val="001807F6"/>
    <w:rsid w:val="002B0F19"/>
    <w:rsid w:val="00412ABF"/>
    <w:rsid w:val="00691E2F"/>
    <w:rsid w:val="008B56C4"/>
    <w:rsid w:val="009303AA"/>
    <w:rsid w:val="00E2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3AA"/>
    <w:rPr>
      <w:rFonts w:ascii="Tahoma" w:hAnsi="Tahoma" w:cs="Tahoma"/>
      <w:sz w:val="16"/>
      <w:szCs w:val="16"/>
    </w:rPr>
  </w:style>
  <w:style w:type="paragraph" w:styleId="NormalWeb">
    <w:name w:val="Normal (Web)"/>
    <w:basedOn w:val="Normal"/>
    <w:unhideWhenUsed/>
    <w:rsid w:val="009303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56C4"/>
    <w:pPr>
      <w:ind w:left="720"/>
      <w:contextualSpacing/>
    </w:pPr>
  </w:style>
  <w:style w:type="character" w:styleId="Hyperlink">
    <w:name w:val="Hyperlink"/>
    <w:basedOn w:val="DefaultParagraphFont"/>
    <w:uiPriority w:val="99"/>
    <w:unhideWhenUsed/>
    <w:rsid w:val="002B0F19"/>
    <w:rPr>
      <w:color w:val="0000FF" w:themeColor="hyperlink"/>
      <w:u w:val="single"/>
    </w:rPr>
  </w:style>
  <w:style w:type="paragraph" w:styleId="FootnoteText">
    <w:name w:val="footnote text"/>
    <w:basedOn w:val="Normal"/>
    <w:link w:val="FootnoteTextChar"/>
    <w:uiPriority w:val="99"/>
    <w:semiHidden/>
    <w:unhideWhenUsed/>
    <w:rsid w:val="002B0F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F19"/>
    <w:rPr>
      <w:sz w:val="20"/>
      <w:szCs w:val="20"/>
    </w:rPr>
  </w:style>
  <w:style w:type="character" w:styleId="FootnoteReference">
    <w:name w:val="footnote reference"/>
    <w:basedOn w:val="DefaultParagraphFont"/>
    <w:uiPriority w:val="99"/>
    <w:semiHidden/>
    <w:unhideWhenUsed/>
    <w:rsid w:val="002B0F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3AA"/>
    <w:rPr>
      <w:rFonts w:ascii="Tahoma" w:hAnsi="Tahoma" w:cs="Tahoma"/>
      <w:sz w:val="16"/>
      <w:szCs w:val="16"/>
    </w:rPr>
  </w:style>
  <w:style w:type="paragraph" w:styleId="NormalWeb">
    <w:name w:val="Normal (Web)"/>
    <w:basedOn w:val="Normal"/>
    <w:unhideWhenUsed/>
    <w:rsid w:val="009303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56C4"/>
    <w:pPr>
      <w:ind w:left="720"/>
      <w:contextualSpacing/>
    </w:pPr>
  </w:style>
  <w:style w:type="character" w:styleId="Hyperlink">
    <w:name w:val="Hyperlink"/>
    <w:basedOn w:val="DefaultParagraphFont"/>
    <w:uiPriority w:val="99"/>
    <w:unhideWhenUsed/>
    <w:rsid w:val="002B0F19"/>
    <w:rPr>
      <w:color w:val="0000FF" w:themeColor="hyperlink"/>
      <w:u w:val="single"/>
    </w:rPr>
  </w:style>
  <w:style w:type="paragraph" w:styleId="FootnoteText">
    <w:name w:val="footnote text"/>
    <w:basedOn w:val="Normal"/>
    <w:link w:val="FootnoteTextChar"/>
    <w:uiPriority w:val="99"/>
    <w:semiHidden/>
    <w:unhideWhenUsed/>
    <w:rsid w:val="002B0F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F19"/>
    <w:rPr>
      <w:sz w:val="20"/>
      <w:szCs w:val="20"/>
    </w:rPr>
  </w:style>
  <w:style w:type="character" w:styleId="FootnoteReference">
    <w:name w:val="footnote reference"/>
    <w:basedOn w:val="DefaultParagraphFont"/>
    <w:uiPriority w:val="99"/>
    <w:semiHidden/>
    <w:unhideWhenUsed/>
    <w:rsid w:val="002B0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unne@bruinmail.slc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slcc.edu/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3</cp:revision>
  <dcterms:created xsi:type="dcterms:W3CDTF">2016-01-11T23:35:00Z</dcterms:created>
  <dcterms:modified xsi:type="dcterms:W3CDTF">2016-01-12T16:17:00Z</dcterms:modified>
</cp:coreProperties>
</file>