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E65" w:rsidRDefault="004B0E65" w:rsidP="004B0E65">
      <w:pPr>
        <w:rPr>
          <w:rFonts w:ascii="Times New Roman" w:hAnsi="Times New Roman" w:cs="Times New Roman"/>
          <w:sz w:val="24"/>
          <w:szCs w:val="24"/>
        </w:rPr>
      </w:pPr>
      <w:bookmarkStart w:id="0" w:name="_GoBack"/>
      <w:bookmarkEnd w:id="0"/>
      <w:r>
        <w:rPr>
          <w:rFonts w:ascii="Times New Roman" w:hAnsi="Times New Roman" w:cs="Times New Roman"/>
          <w:b/>
          <w:sz w:val="24"/>
          <w:szCs w:val="24"/>
        </w:rPr>
        <w:t xml:space="preserve">Title: </w:t>
      </w:r>
      <w:r>
        <w:rPr>
          <w:rFonts w:ascii="Times New Roman" w:hAnsi="Times New Roman" w:cs="Times New Roman"/>
          <w:sz w:val="24"/>
          <w:szCs w:val="24"/>
        </w:rPr>
        <w:t>Engaging the Low Attention High Tech Students</w:t>
      </w:r>
    </w:p>
    <w:p w:rsidR="004B0E65" w:rsidRDefault="004B0E65" w:rsidP="004B0E65">
      <w:pPr>
        <w:rPr>
          <w:rFonts w:ascii="Times New Roman" w:hAnsi="Times New Roman" w:cs="Times New Roman"/>
          <w:sz w:val="24"/>
          <w:szCs w:val="24"/>
        </w:rPr>
      </w:pPr>
      <w:r>
        <w:rPr>
          <w:rFonts w:ascii="Times New Roman" w:hAnsi="Times New Roman" w:cs="Times New Roman"/>
          <w:b/>
          <w:sz w:val="24"/>
          <w:szCs w:val="24"/>
        </w:rPr>
        <w:t xml:space="preserve">Presenters: </w:t>
      </w:r>
      <w:r>
        <w:rPr>
          <w:rFonts w:ascii="Times New Roman" w:hAnsi="Times New Roman" w:cs="Times New Roman"/>
          <w:sz w:val="24"/>
          <w:szCs w:val="24"/>
        </w:rPr>
        <w:t>Gordon Dunne and Jason Roberts</w:t>
      </w:r>
    </w:p>
    <w:p w:rsidR="00E7005A" w:rsidRDefault="00E7005A" w:rsidP="0032730B">
      <w:pPr>
        <w:jc w:val="center"/>
        <w:rPr>
          <w:rFonts w:ascii="Times New Roman" w:hAnsi="Times New Roman" w:cs="Times New Roman"/>
          <w:b/>
          <w:sz w:val="24"/>
          <w:szCs w:val="24"/>
        </w:rPr>
      </w:pPr>
    </w:p>
    <w:p w:rsidR="00E7005A" w:rsidRDefault="00E7005A" w:rsidP="0032730B">
      <w:pPr>
        <w:jc w:val="center"/>
        <w:rPr>
          <w:rFonts w:ascii="Times New Roman" w:hAnsi="Times New Roman" w:cs="Times New Roman"/>
          <w:b/>
          <w:sz w:val="24"/>
          <w:szCs w:val="24"/>
        </w:rPr>
      </w:pPr>
    </w:p>
    <w:p w:rsidR="00A746AE" w:rsidRDefault="0032730B" w:rsidP="0032730B">
      <w:pPr>
        <w:jc w:val="center"/>
        <w:rPr>
          <w:rFonts w:ascii="Times New Roman" w:hAnsi="Times New Roman" w:cs="Times New Roman"/>
          <w:b/>
          <w:sz w:val="24"/>
          <w:szCs w:val="24"/>
        </w:rPr>
      </w:pPr>
      <w:r>
        <w:rPr>
          <w:rFonts w:ascii="Times New Roman" w:hAnsi="Times New Roman" w:cs="Times New Roman"/>
          <w:b/>
          <w:sz w:val="24"/>
          <w:szCs w:val="24"/>
        </w:rPr>
        <w:t>ABSTRACT</w:t>
      </w:r>
    </w:p>
    <w:p w:rsidR="005A05ED" w:rsidRDefault="0032730B" w:rsidP="0032730B">
      <w:pPr>
        <w:rPr>
          <w:rFonts w:ascii="Times New Roman" w:hAnsi="Times New Roman" w:cs="Times New Roman"/>
          <w:sz w:val="24"/>
          <w:szCs w:val="24"/>
        </w:rPr>
      </w:pPr>
      <w:r>
        <w:rPr>
          <w:rFonts w:ascii="Times New Roman" w:hAnsi="Times New Roman" w:cs="Times New Roman"/>
          <w:sz w:val="24"/>
          <w:szCs w:val="24"/>
        </w:rPr>
        <w:t>Research clearly indicates that students learn more effectively when they are engaged. This seems almost common sense; however, the traditional-style lectu</w:t>
      </w:r>
      <w:r w:rsidR="004B0E65">
        <w:rPr>
          <w:rFonts w:ascii="Times New Roman" w:hAnsi="Times New Roman" w:cs="Times New Roman"/>
          <w:sz w:val="24"/>
          <w:szCs w:val="24"/>
        </w:rPr>
        <w:t>re persists as the primary method</w:t>
      </w:r>
      <w:r>
        <w:rPr>
          <w:rFonts w:ascii="Times New Roman" w:hAnsi="Times New Roman" w:cs="Times New Roman"/>
          <w:sz w:val="24"/>
          <w:szCs w:val="24"/>
        </w:rPr>
        <w:t xml:space="preserve"> of instruction at colleges and universities. </w:t>
      </w:r>
      <w:r w:rsidR="00E7005A">
        <w:rPr>
          <w:rFonts w:ascii="Times New Roman" w:hAnsi="Times New Roman" w:cs="Times New Roman"/>
          <w:sz w:val="24"/>
          <w:szCs w:val="24"/>
        </w:rPr>
        <w:t>Although</w:t>
      </w:r>
      <w:r w:rsidR="00A05A18">
        <w:rPr>
          <w:rFonts w:ascii="Times New Roman" w:hAnsi="Times New Roman" w:cs="Times New Roman"/>
          <w:sz w:val="24"/>
          <w:szCs w:val="24"/>
        </w:rPr>
        <w:t xml:space="preserve"> more recently</w:t>
      </w:r>
      <w:r w:rsidR="00E7005A">
        <w:rPr>
          <w:rFonts w:ascii="Times New Roman" w:hAnsi="Times New Roman" w:cs="Times New Roman"/>
          <w:sz w:val="24"/>
          <w:szCs w:val="24"/>
        </w:rPr>
        <w:t xml:space="preserve"> much effort has been made </w:t>
      </w:r>
      <w:r w:rsidR="004B0E65">
        <w:rPr>
          <w:rFonts w:ascii="Times New Roman" w:hAnsi="Times New Roman" w:cs="Times New Roman"/>
          <w:sz w:val="24"/>
          <w:szCs w:val="24"/>
        </w:rPr>
        <w:t xml:space="preserve">to engage students </w:t>
      </w:r>
      <w:r w:rsidR="00E7005A">
        <w:rPr>
          <w:rFonts w:ascii="Times New Roman" w:hAnsi="Times New Roman" w:cs="Times New Roman"/>
          <w:sz w:val="24"/>
          <w:szCs w:val="24"/>
        </w:rPr>
        <w:t>and various novel</w:t>
      </w:r>
      <w:r w:rsidR="004B0E65">
        <w:rPr>
          <w:rFonts w:ascii="Times New Roman" w:hAnsi="Times New Roman" w:cs="Times New Roman"/>
          <w:sz w:val="24"/>
          <w:szCs w:val="24"/>
        </w:rPr>
        <w:t xml:space="preserve"> and interesting</w:t>
      </w:r>
      <w:r w:rsidR="00E7005A">
        <w:rPr>
          <w:rFonts w:ascii="Times New Roman" w:hAnsi="Times New Roman" w:cs="Times New Roman"/>
          <w:sz w:val="24"/>
          <w:szCs w:val="24"/>
        </w:rPr>
        <w:t xml:space="preserve"> ideas have been put forward, e.g. “the flipped classroom,”</w:t>
      </w:r>
      <w:r w:rsidR="004B0E65">
        <w:rPr>
          <w:rFonts w:ascii="Times New Roman" w:hAnsi="Times New Roman" w:cs="Times New Roman"/>
          <w:sz w:val="24"/>
          <w:szCs w:val="24"/>
        </w:rPr>
        <w:t xml:space="preserve"> these strategies are not always effective or appropriate for many of our courses and students, especially in developmental education. The techniques presented here are not necessarily new but they are easily adaptable and can be implemented with only minor changes to lesson plans. Moreover, </w:t>
      </w:r>
      <w:r w:rsidR="00A05A18">
        <w:rPr>
          <w:rFonts w:ascii="Times New Roman" w:hAnsi="Times New Roman" w:cs="Times New Roman"/>
          <w:sz w:val="24"/>
          <w:szCs w:val="24"/>
        </w:rPr>
        <w:t xml:space="preserve">they directly address the issue of many of today’s students who arrive in our classrooms </w:t>
      </w:r>
      <w:r w:rsidR="00381346">
        <w:rPr>
          <w:rFonts w:ascii="Times New Roman" w:hAnsi="Times New Roman" w:cs="Times New Roman"/>
          <w:sz w:val="24"/>
          <w:szCs w:val="24"/>
        </w:rPr>
        <w:t>with very limited attention spans. While we acknowledge that we as instructors are not here to entertain, we also understand that students’ interest must be sparked.</w:t>
      </w:r>
      <w:r w:rsidR="00A05A18">
        <w:rPr>
          <w:rFonts w:ascii="Times New Roman" w:hAnsi="Times New Roman" w:cs="Times New Roman"/>
          <w:sz w:val="24"/>
          <w:szCs w:val="24"/>
        </w:rPr>
        <w:t xml:space="preserve"> The double strategy of</w:t>
      </w:r>
      <w:r w:rsidR="008067B1">
        <w:rPr>
          <w:rFonts w:ascii="Times New Roman" w:hAnsi="Times New Roman" w:cs="Times New Roman"/>
          <w:sz w:val="24"/>
          <w:szCs w:val="24"/>
        </w:rPr>
        <w:t xml:space="preserve"> communicative interaction activities as</w:t>
      </w:r>
      <w:r w:rsidR="00A05A18">
        <w:rPr>
          <w:rFonts w:ascii="Times New Roman" w:hAnsi="Times New Roman" w:cs="Times New Roman"/>
          <w:sz w:val="24"/>
          <w:szCs w:val="24"/>
        </w:rPr>
        <w:t xml:space="preserve"> well </w:t>
      </w:r>
      <w:r w:rsidR="008067B1">
        <w:rPr>
          <w:rFonts w:ascii="Times New Roman" w:hAnsi="Times New Roman" w:cs="Times New Roman"/>
          <w:sz w:val="24"/>
          <w:szCs w:val="24"/>
        </w:rPr>
        <w:t xml:space="preserve">as </w:t>
      </w:r>
      <w:r w:rsidR="00A05A18">
        <w:rPr>
          <w:rFonts w:ascii="Times New Roman" w:hAnsi="Times New Roman" w:cs="Times New Roman"/>
          <w:sz w:val="24"/>
          <w:szCs w:val="24"/>
        </w:rPr>
        <w:t>using simple technology that appeals to these students can make all the difference in terms of improved motivation and learning. We have found that our students are more responsive, more</w:t>
      </w:r>
      <w:r w:rsidR="008067B1">
        <w:rPr>
          <w:rFonts w:ascii="Times New Roman" w:hAnsi="Times New Roman" w:cs="Times New Roman"/>
          <w:sz w:val="24"/>
          <w:szCs w:val="24"/>
        </w:rPr>
        <w:t xml:space="preserve"> attentive, more willing to participate, and overall more successful when we engage them with each other and the coursework in creative but simple ways.</w:t>
      </w:r>
    </w:p>
    <w:p w:rsidR="008067B1" w:rsidRDefault="008067B1" w:rsidP="0032730B">
      <w:pPr>
        <w:rPr>
          <w:rFonts w:ascii="Times New Roman" w:hAnsi="Times New Roman" w:cs="Times New Roman"/>
          <w:b/>
          <w:sz w:val="24"/>
          <w:szCs w:val="24"/>
        </w:rPr>
      </w:pPr>
      <w:r>
        <w:rPr>
          <w:rFonts w:ascii="Times New Roman" w:hAnsi="Times New Roman" w:cs="Times New Roman"/>
          <w:b/>
          <w:sz w:val="24"/>
          <w:szCs w:val="24"/>
        </w:rPr>
        <w:t>Bibliography</w:t>
      </w:r>
    </w:p>
    <w:p w:rsidR="003A32C9" w:rsidRDefault="003A32C9" w:rsidP="003A32C9">
      <w:pPr>
        <w:spacing w:line="240" w:lineRule="auto"/>
        <w:ind w:left="720" w:hanging="720"/>
      </w:pPr>
      <w:r>
        <w:t xml:space="preserve">Borg, S. (2003). Teacher cognition in language teaching: A review of research on what language teachers think, know, believe and do. </w:t>
      </w:r>
      <w:r w:rsidRPr="00341DE9">
        <w:rPr>
          <w:i/>
        </w:rPr>
        <w:t>Language Teaching: The International Abstracting Journal for Language Teachers, Educators and Researchers, 36</w:t>
      </w:r>
      <w:r>
        <w:t xml:space="preserve">, 81–109. Retrieved from </w:t>
      </w:r>
      <w:r w:rsidRPr="00E06896">
        <w:t>http://journals.cambridge.org/action/displayJournal?jid=LTA</w:t>
      </w:r>
    </w:p>
    <w:p w:rsidR="003A32C9" w:rsidRDefault="003A32C9" w:rsidP="003A32C9">
      <w:pPr>
        <w:spacing w:line="240" w:lineRule="auto"/>
        <w:ind w:left="720" w:hanging="720"/>
      </w:pPr>
      <w:r>
        <w:t xml:space="preserve">Freeman, D. (2002). The hidden side of the work: Teacher knowledge and learning to teach. </w:t>
      </w:r>
      <w:r w:rsidRPr="00341DE9">
        <w:rPr>
          <w:i/>
        </w:rPr>
        <w:t>Language Teaching: The International Abstracting Journal for Language Teachers, Educators and Researchers, 35</w:t>
      </w:r>
      <w:r>
        <w:t>, 1–13.</w:t>
      </w:r>
    </w:p>
    <w:p w:rsidR="003A32C9" w:rsidRDefault="003A32C9" w:rsidP="003A32C9">
      <w:pPr>
        <w:spacing w:line="240" w:lineRule="auto"/>
        <w:ind w:left="720" w:hanging="720"/>
      </w:pPr>
      <w:proofErr w:type="spellStart"/>
      <w:r>
        <w:t>Gatbonton</w:t>
      </w:r>
      <w:proofErr w:type="spellEnd"/>
      <w:r>
        <w:t xml:space="preserve">, E. (2008). </w:t>
      </w:r>
      <w:proofErr w:type="gramStart"/>
      <w:r>
        <w:t xml:space="preserve">Looking beyond teachers' classroom </w:t>
      </w:r>
      <w:proofErr w:type="spellStart"/>
      <w:r>
        <w:t>behaviour</w:t>
      </w:r>
      <w:proofErr w:type="spellEnd"/>
      <w:r>
        <w:t>: Novice and experienced ESL teachers' pedagogical knowledge.</w:t>
      </w:r>
      <w:proofErr w:type="gramEnd"/>
      <w:r>
        <w:t xml:space="preserve"> </w:t>
      </w:r>
      <w:proofErr w:type="gramStart"/>
      <w:r w:rsidRPr="00341DE9">
        <w:rPr>
          <w:i/>
        </w:rPr>
        <w:t xml:space="preserve">Language Teaching Research, </w:t>
      </w:r>
      <w:r w:rsidRPr="0053048B">
        <w:rPr>
          <w:i/>
        </w:rPr>
        <w:t>12</w:t>
      </w:r>
      <w:r w:rsidRPr="0053048B">
        <w:t>,</w:t>
      </w:r>
      <w:r>
        <w:t xml:space="preserve"> 161–182.</w:t>
      </w:r>
      <w:proofErr w:type="gramEnd"/>
    </w:p>
    <w:p w:rsidR="003A32C9" w:rsidRDefault="003A32C9" w:rsidP="003A32C9">
      <w:pPr>
        <w:spacing w:line="240" w:lineRule="auto"/>
        <w:ind w:left="720" w:hanging="720"/>
      </w:pPr>
      <w:proofErr w:type="spellStart"/>
      <w:r>
        <w:t>Mullock</w:t>
      </w:r>
      <w:proofErr w:type="spellEnd"/>
      <w:r>
        <w:t xml:space="preserve">, B. (2006). </w:t>
      </w:r>
      <w:proofErr w:type="gramStart"/>
      <w:r>
        <w:t>The pedagogical knowledge base of four TESOL teachers.</w:t>
      </w:r>
      <w:proofErr w:type="gramEnd"/>
      <w:r>
        <w:t xml:space="preserve"> </w:t>
      </w:r>
      <w:r w:rsidRPr="00341DE9">
        <w:rPr>
          <w:i/>
        </w:rPr>
        <w:t>Modern Language Journal, 9</w:t>
      </w:r>
      <w:r w:rsidRPr="0053048B">
        <w:rPr>
          <w:i/>
        </w:rPr>
        <w:t>0</w:t>
      </w:r>
      <w:r>
        <w:t>, 48–66.</w:t>
      </w:r>
    </w:p>
    <w:p w:rsidR="003A32C9" w:rsidRDefault="003A32C9" w:rsidP="003A32C9">
      <w:pPr>
        <w:spacing w:line="240" w:lineRule="auto"/>
        <w:ind w:left="720" w:hanging="720"/>
      </w:pPr>
      <w:proofErr w:type="spellStart"/>
      <w:r>
        <w:t>Pajares</w:t>
      </w:r>
      <w:proofErr w:type="spellEnd"/>
      <w:r>
        <w:t xml:space="preserve">, M. F. (1992). Teachers' beliefs and educational research: Cleaning up a messy construct. </w:t>
      </w:r>
      <w:r w:rsidRPr="00341DE9">
        <w:rPr>
          <w:i/>
        </w:rPr>
        <w:t>Review of Educational Research, 62</w:t>
      </w:r>
      <w:r>
        <w:t>, 307–332.</w:t>
      </w:r>
    </w:p>
    <w:p w:rsidR="003A32C9" w:rsidRPr="008067B1" w:rsidRDefault="003A32C9" w:rsidP="003A32C9">
      <w:pPr>
        <w:spacing w:line="240" w:lineRule="auto"/>
        <w:ind w:left="720" w:hanging="720"/>
        <w:rPr>
          <w:rFonts w:ascii="Times New Roman" w:hAnsi="Times New Roman" w:cs="Times New Roman"/>
          <w:b/>
          <w:sz w:val="24"/>
          <w:szCs w:val="24"/>
        </w:rPr>
      </w:pPr>
      <w:proofErr w:type="gramStart"/>
      <w:r>
        <w:t>Smith, D. B. (1996).</w:t>
      </w:r>
      <w:proofErr w:type="gramEnd"/>
      <w:r>
        <w:t xml:space="preserve"> </w:t>
      </w:r>
      <w:proofErr w:type="gramStart"/>
      <w:r>
        <w:t>Teacher decision making in the adult ESL classroom.</w:t>
      </w:r>
      <w:proofErr w:type="gramEnd"/>
      <w:r>
        <w:t xml:space="preserve"> </w:t>
      </w:r>
      <w:proofErr w:type="gramStart"/>
      <w:r>
        <w:t xml:space="preserve">In D. Freeman &amp; J. C. Richards (Eds.), </w:t>
      </w:r>
      <w:r w:rsidRPr="00341DE9">
        <w:rPr>
          <w:i/>
        </w:rPr>
        <w:t xml:space="preserve">Teacher </w:t>
      </w:r>
      <w:r>
        <w:rPr>
          <w:i/>
        </w:rPr>
        <w:t>l</w:t>
      </w:r>
      <w:r w:rsidRPr="00341DE9">
        <w:rPr>
          <w:i/>
        </w:rPr>
        <w:t xml:space="preserve">earning in </w:t>
      </w:r>
      <w:r>
        <w:rPr>
          <w:i/>
        </w:rPr>
        <w:t>l</w:t>
      </w:r>
      <w:r w:rsidRPr="00341DE9">
        <w:rPr>
          <w:i/>
        </w:rPr>
        <w:t xml:space="preserve">anguage </w:t>
      </w:r>
      <w:r>
        <w:rPr>
          <w:i/>
        </w:rPr>
        <w:t>t</w:t>
      </w:r>
      <w:r w:rsidRPr="00341DE9">
        <w:rPr>
          <w:i/>
        </w:rPr>
        <w:t>eaching</w:t>
      </w:r>
      <w:r>
        <w:t xml:space="preserve"> (pp. 197–216).</w:t>
      </w:r>
      <w:proofErr w:type="gramEnd"/>
      <w:r>
        <w:t xml:space="preserve"> Cambridge, United Kingdom: Cambridge University Press.</w:t>
      </w:r>
    </w:p>
    <w:sectPr w:rsidR="003A32C9" w:rsidRPr="008067B1" w:rsidSect="003A32C9">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0B"/>
    <w:rsid w:val="0032730B"/>
    <w:rsid w:val="00381346"/>
    <w:rsid w:val="003A32C9"/>
    <w:rsid w:val="004B0008"/>
    <w:rsid w:val="004B0E65"/>
    <w:rsid w:val="005A05ED"/>
    <w:rsid w:val="006A5103"/>
    <w:rsid w:val="008067B1"/>
    <w:rsid w:val="00A05A18"/>
    <w:rsid w:val="00A746AE"/>
    <w:rsid w:val="00E7005A"/>
    <w:rsid w:val="00FD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Dunne</dc:creator>
  <cp:lastModifiedBy>Gordon Dunne</cp:lastModifiedBy>
  <cp:revision>2</cp:revision>
  <dcterms:created xsi:type="dcterms:W3CDTF">2014-09-29T22:05:00Z</dcterms:created>
  <dcterms:modified xsi:type="dcterms:W3CDTF">2014-09-29T22:05:00Z</dcterms:modified>
</cp:coreProperties>
</file>